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5634F7">
      <w:pPr>
        <w:rPr>
          <w:rFonts w:ascii="仿宋" w:hAnsi="仿宋" w:eastAsia="仿宋" w:cs="仿宋"/>
          <w:color w:val="auto"/>
          <w:highlight w:val="none"/>
        </w:rPr>
      </w:pPr>
      <w:bookmarkStart w:id="0" w:name="_Toc390098840"/>
      <w:bookmarkStart w:id="1" w:name="_Toc426469868"/>
      <w:bookmarkStart w:id="2" w:name="_Toc390246905"/>
      <w:bookmarkStart w:id="3" w:name="_Toc383623672"/>
      <w:bookmarkStart w:id="4" w:name="_Toc383679746"/>
      <w:bookmarkStart w:id="5" w:name="_Toc383625993"/>
      <w:bookmarkStart w:id="6" w:name="_Toc383623944"/>
      <w:bookmarkStart w:id="7" w:name="_Toc383698647"/>
      <w:bookmarkStart w:id="8" w:name="_Toc390099018"/>
      <w:bookmarkStart w:id="9" w:name="_Toc383587456"/>
    </w:p>
    <w:p w14:paraId="256E1EF9">
      <w:pPr>
        <w:rPr>
          <w:rFonts w:ascii="仿宋" w:hAnsi="仿宋" w:eastAsia="仿宋" w:cs="仿宋"/>
          <w:color w:val="auto"/>
          <w:highlight w:val="none"/>
        </w:rPr>
      </w:pPr>
    </w:p>
    <w:p w14:paraId="744E8BFE">
      <w:pPr>
        <w:pStyle w:val="85"/>
        <w:rPr>
          <w:rFonts w:ascii="仿宋" w:hAnsi="仿宋" w:eastAsia="仿宋" w:cs="仿宋"/>
          <w:color w:val="auto"/>
          <w:highlight w:val="none"/>
        </w:rPr>
      </w:pPr>
    </w:p>
    <w:p w14:paraId="6DACA631">
      <w:pPr>
        <w:pStyle w:val="85"/>
        <w:rPr>
          <w:rFonts w:ascii="仿宋" w:hAnsi="仿宋" w:eastAsia="仿宋" w:cs="仿宋"/>
          <w:color w:val="auto"/>
          <w:highlight w:val="none"/>
        </w:rPr>
      </w:pPr>
    </w:p>
    <w:p w14:paraId="47DEE269">
      <w:pPr>
        <w:rPr>
          <w:rFonts w:ascii="仿宋" w:hAnsi="仿宋" w:eastAsia="仿宋" w:cs="仿宋"/>
          <w:color w:val="auto"/>
          <w:highlight w:val="none"/>
        </w:rPr>
      </w:pPr>
      <w:r>
        <w:rPr>
          <w:rFonts w:hint="eastAsia" w:ascii="仿宋" w:hAnsi="仿宋" w:eastAsia="仿宋" w:cs="仿宋"/>
          <w:color w:val="auto"/>
          <w:highlight w:val="none"/>
        </w:rPr>
        <w:tab/>
      </w:r>
    </w:p>
    <w:p w14:paraId="687F902E">
      <w:pPr>
        <w:rPr>
          <w:rFonts w:ascii="仿宋" w:hAnsi="仿宋" w:eastAsia="仿宋" w:cs="仿宋"/>
          <w:color w:val="auto"/>
          <w:highlight w:val="none"/>
        </w:rPr>
      </w:pPr>
    </w:p>
    <w:p w14:paraId="0209E348">
      <w:pPr>
        <w:rPr>
          <w:rFonts w:ascii="仿宋" w:hAnsi="仿宋" w:eastAsia="仿宋" w:cs="仿宋"/>
          <w:color w:val="auto"/>
          <w:highlight w:val="none"/>
        </w:rPr>
      </w:pPr>
    </w:p>
    <w:p w14:paraId="4B13AC36">
      <w:pPr>
        <w:pStyle w:val="245"/>
        <w:jc w:val="center"/>
        <w:outlineLvl w:val="0"/>
        <w:rPr>
          <w:rFonts w:hAnsi="仿宋"/>
          <w:bCs/>
          <w:color w:val="auto"/>
          <w:sz w:val="84"/>
          <w:szCs w:val="84"/>
          <w:highlight w:val="none"/>
        </w:rPr>
      </w:pPr>
      <w:r>
        <w:rPr>
          <w:rFonts w:hint="eastAsia" w:hAnsi="仿宋"/>
          <w:bCs/>
          <w:color w:val="auto"/>
          <w:sz w:val="84"/>
          <w:szCs w:val="84"/>
          <w:highlight w:val="none"/>
        </w:rPr>
        <w:t>竞争性磋商文件</w:t>
      </w:r>
    </w:p>
    <w:p w14:paraId="097A441E">
      <w:pPr>
        <w:pStyle w:val="245"/>
        <w:spacing w:line="540" w:lineRule="exact"/>
        <w:ind w:firstLine="640"/>
        <w:rPr>
          <w:rFonts w:hAnsi="仿宋"/>
          <w:b/>
          <w:bCs/>
          <w:color w:val="auto"/>
          <w:sz w:val="32"/>
          <w:szCs w:val="32"/>
          <w:highlight w:val="none"/>
        </w:rPr>
      </w:pPr>
    </w:p>
    <w:p w14:paraId="386F8AB1">
      <w:pPr>
        <w:pStyle w:val="245"/>
        <w:spacing w:line="540" w:lineRule="exact"/>
        <w:ind w:firstLine="640"/>
        <w:rPr>
          <w:rFonts w:hAnsi="仿宋"/>
          <w:b/>
          <w:bCs/>
          <w:color w:val="auto"/>
          <w:sz w:val="32"/>
          <w:szCs w:val="32"/>
          <w:highlight w:val="none"/>
        </w:rPr>
      </w:pPr>
    </w:p>
    <w:p w14:paraId="76F27558">
      <w:pPr>
        <w:pStyle w:val="245"/>
        <w:spacing w:line="640" w:lineRule="exact"/>
        <w:jc w:val="both"/>
        <w:outlineLvl w:val="0"/>
        <w:rPr>
          <w:rFonts w:hAnsi="仿宋"/>
          <w:b/>
          <w:color w:val="auto"/>
          <w:sz w:val="44"/>
          <w:szCs w:val="44"/>
          <w:highlight w:val="none"/>
        </w:rPr>
      </w:pPr>
    </w:p>
    <w:p w14:paraId="6371A66E">
      <w:pPr>
        <w:pStyle w:val="245"/>
        <w:keepNext w:val="0"/>
        <w:keepLines w:val="0"/>
        <w:pageBreakBefore w:val="0"/>
        <w:widowControl w:val="0"/>
        <w:kinsoku/>
        <w:wordWrap/>
        <w:overflowPunct/>
        <w:topLinePunct w:val="0"/>
        <w:autoSpaceDE/>
        <w:autoSpaceDN/>
        <w:bidi w:val="0"/>
        <w:adjustRightInd w:val="0"/>
        <w:snapToGrid/>
        <w:spacing w:line="640" w:lineRule="exact"/>
        <w:ind w:firstLine="1446" w:firstLineChars="400"/>
        <w:jc w:val="both"/>
        <w:textAlignment w:val="auto"/>
        <w:outlineLvl w:val="0"/>
        <w:rPr>
          <w:rFonts w:hint="eastAsia" w:hAnsi="仿宋"/>
          <w:b/>
          <w:color w:val="auto"/>
          <w:sz w:val="36"/>
          <w:szCs w:val="36"/>
          <w:highlight w:val="none"/>
        </w:rPr>
      </w:pPr>
      <w:r>
        <w:rPr>
          <w:rFonts w:hint="eastAsia" w:hAnsi="仿宋"/>
          <w:b/>
          <w:color w:val="auto"/>
          <w:sz w:val="36"/>
          <w:szCs w:val="36"/>
          <w:highlight w:val="none"/>
        </w:rPr>
        <w:t>项目名称：印桥社区雨水支管更换工程</w:t>
      </w:r>
    </w:p>
    <w:p w14:paraId="463DDCC4">
      <w:pPr>
        <w:pStyle w:val="245"/>
        <w:keepNext w:val="0"/>
        <w:keepLines w:val="0"/>
        <w:pageBreakBefore w:val="0"/>
        <w:widowControl w:val="0"/>
        <w:kinsoku/>
        <w:wordWrap/>
        <w:overflowPunct/>
        <w:topLinePunct w:val="0"/>
        <w:autoSpaceDE/>
        <w:autoSpaceDN/>
        <w:bidi w:val="0"/>
        <w:adjustRightInd w:val="0"/>
        <w:snapToGrid/>
        <w:spacing w:line="640" w:lineRule="exact"/>
        <w:ind w:firstLine="1446" w:firstLineChars="400"/>
        <w:jc w:val="both"/>
        <w:textAlignment w:val="auto"/>
        <w:outlineLvl w:val="0"/>
        <w:rPr>
          <w:rFonts w:hint="eastAsia" w:hAnsi="仿宋" w:eastAsia="仿宋"/>
          <w:b/>
          <w:bCs/>
          <w:color w:val="auto"/>
          <w:sz w:val="44"/>
          <w:szCs w:val="44"/>
          <w:highlight w:val="none"/>
          <w:lang w:val="en-US" w:eastAsia="zh-CN"/>
        </w:rPr>
      </w:pPr>
      <w:r>
        <w:rPr>
          <w:rFonts w:hint="eastAsia" w:hAnsi="仿宋"/>
          <w:b/>
          <w:color w:val="auto"/>
          <w:sz w:val="36"/>
          <w:szCs w:val="36"/>
          <w:highlight w:val="none"/>
        </w:rPr>
        <w:t>项目编号：</w:t>
      </w:r>
      <w:r>
        <w:rPr>
          <w:rFonts w:ascii="宋体" w:hAnsi="宋体"/>
          <w:b/>
          <w:bCs/>
          <w:sz w:val="30"/>
          <w:szCs w:val="30"/>
          <w:highlight w:val="none"/>
        </w:rPr>
        <w:t>JSZC-321283-TPTZ-C2026-000</w:t>
      </w:r>
      <w:r>
        <w:rPr>
          <w:rFonts w:hint="eastAsia" w:ascii="宋体" w:hAnsi="宋体"/>
          <w:b/>
          <w:bCs/>
          <w:sz w:val="30"/>
          <w:szCs w:val="30"/>
          <w:highlight w:val="none"/>
          <w:lang w:val="en-US" w:eastAsia="zh-CN"/>
        </w:rPr>
        <w:t>2</w:t>
      </w:r>
    </w:p>
    <w:p w14:paraId="19700BED">
      <w:pPr>
        <w:pStyle w:val="245"/>
        <w:spacing w:line="540" w:lineRule="exact"/>
        <w:ind w:firstLine="643"/>
        <w:jc w:val="center"/>
        <w:rPr>
          <w:rFonts w:hAnsi="仿宋"/>
          <w:b/>
          <w:color w:val="auto"/>
          <w:sz w:val="32"/>
          <w:szCs w:val="32"/>
          <w:highlight w:val="none"/>
        </w:rPr>
      </w:pPr>
    </w:p>
    <w:p w14:paraId="3E6D3E6F">
      <w:pPr>
        <w:pStyle w:val="245"/>
        <w:spacing w:line="540" w:lineRule="exact"/>
        <w:ind w:firstLine="643"/>
        <w:jc w:val="center"/>
        <w:rPr>
          <w:rFonts w:hAnsi="仿宋"/>
          <w:b/>
          <w:color w:val="auto"/>
          <w:sz w:val="32"/>
          <w:szCs w:val="32"/>
          <w:highlight w:val="none"/>
        </w:rPr>
      </w:pPr>
    </w:p>
    <w:p w14:paraId="48257867">
      <w:pPr>
        <w:pStyle w:val="245"/>
        <w:spacing w:line="540" w:lineRule="exact"/>
        <w:ind w:firstLine="643"/>
        <w:jc w:val="center"/>
        <w:rPr>
          <w:rFonts w:hAnsi="仿宋"/>
          <w:b/>
          <w:color w:val="auto"/>
          <w:sz w:val="32"/>
          <w:szCs w:val="32"/>
          <w:highlight w:val="none"/>
        </w:rPr>
      </w:pPr>
    </w:p>
    <w:p w14:paraId="06ADE618">
      <w:pPr>
        <w:pStyle w:val="245"/>
        <w:spacing w:line="540" w:lineRule="exact"/>
        <w:ind w:firstLine="643"/>
        <w:jc w:val="center"/>
        <w:rPr>
          <w:rFonts w:hAnsi="仿宋"/>
          <w:b/>
          <w:color w:val="auto"/>
          <w:sz w:val="32"/>
          <w:szCs w:val="32"/>
          <w:highlight w:val="none"/>
        </w:rPr>
      </w:pPr>
    </w:p>
    <w:p w14:paraId="61A911C1">
      <w:pPr>
        <w:pStyle w:val="245"/>
        <w:spacing w:line="540" w:lineRule="exact"/>
        <w:ind w:firstLine="643"/>
        <w:jc w:val="center"/>
        <w:rPr>
          <w:rFonts w:hAnsi="仿宋"/>
          <w:b/>
          <w:color w:val="auto"/>
          <w:sz w:val="32"/>
          <w:szCs w:val="32"/>
          <w:highlight w:val="none"/>
        </w:rPr>
      </w:pPr>
    </w:p>
    <w:p w14:paraId="4839B2D7">
      <w:pPr>
        <w:pStyle w:val="245"/>
        <w:spacing w:line="540" w:lineRule="exact"/>
        <w:ind w:firstLine="643"/>
        <w:jc w:val="center"/>
        <w:rPr>
          <w:rFonts w:hAnsi="仿宋"/>
          <w:b/>
          <w:color w:val="auto"/>
          <w:sz w:val="32"/>
          <w:szCs w:val="32"/>
          <w:highlight w:val="none"/>
        </w:rPr>
      </w:pPr>
    </w:p>
    <w:p w14:paraId="7E99ABAA">
      <w:pPr>
        <w:pStyle w:val="245"/>
        <w:spacing w:line="540" w:lineRule="exact"/>
        <w:ind w:firstLine="643"/>
        <w:jc w:val="center"/>
        <w:rPr>
          <w:rFonts w:hAnsi="仿宋"/>
          <w:b/>
          <w:color w:val="auto"/>
          <w:sz w:val="32"/>
          <w:szCs w:val="32"/>
          <w:highlight w:val="none"/>
        </w:rPr>
      </w:pPr>
    </w:p>
    <w:p w14:paraId="095E77B0">
      <w:pPr>
        <w:pStyle w:val="245"/>
        <w:keepNext w:val="0"/>
        <w:keepLines w:val="0"/>
        <w:pageBreakBefore w:val="0"/>
        <w:widowControl w:val="0"/>
        <w:kinsoku/>
        <w:wordWrap/>
        <w:overflowPunct/>
        <w:topLinePunct w:val="0"/>
        <w:autoSpaceDE/>
        <w:autoSpaceDN/>
        <w:bidi w:val="0"/>
        <w:adjustRightInd w:val="0"/>
        <w:snapToGrid/>
        <w:spacing w:line="540" w:lineRule="exact"/>
        <w:ind w:left="960" w:leftChars="400"/>
        <w:jc w:val="both"/>
        <w:textAlignment w:val="auto"/>
        <w:rPr>
          <w:rFonts w:hint="eastAsia" w:hAnsi="仿宋"/>
          <w:b/>
          <w:bCs/>
          <w:color w:val="auto"/>
          <w:sz w:val="32"/>
          <w:szCs w:val="32"/>
          <w:highlight w:val="none"/>
          <w:lang w:eastAsia="zh-CN"/>
        </w:rPr>
      </w:pPr>
      <w:r>
        <w:rPr>
          <w:rFonts w:hint="eastAsia" w:hAnsi="仿宋"/>
          <w:b/>
          <w:bCs/>
          <w:color w:val="auto"/>
          <w:sz w:val="32"/>
          <w:szCs w:val="32"/>
          <w:highlight w:val="none"/>
        </w:rPr>
        <w:t>采   购   人：</w:t>
      </w:r>
      <w:r>
        <w:rPr>
          <w:rFonts w:hint="eastAsia" w:hAnsi="仿宋"/>
          <w:b/>
          <w:bCs/>
          <w:color w:val="auto"/>
          <w:sz w:val="32"/>
          <w:szCs w:val="32"/>
          <w:highlight w:val="none"/>
          <w:lang w:eastAsia="zh-CN"/>
        </w:rPr>
        <w:t>泰兴市滨江镇人民政府</w:t>
      </w:r>
    </w:p>
    <w:p w14:paraId="758CE5CD">
      <w:pPr>
        <w:pStyle w:val="245"/>
        <w:keepNext w:val="0"/>
        <w:keepLines w:val="0"/>
        <w:pageBreakBefore w:val="0"/>
        <w:widowControl w:val="0"/>
        <w:kinsoku/>
        <w:wordWrap/>
        <w:overflowPunct/>
        <w:topLinePunct w:val="0"/>
        <w:autoSpaceDE/>
        <w:autoSpaceDN/>
        <w:bidi w:val="0"/>
        <w:adjustRightInd w:val="0"/>
        <w:snapToGrid/>
        <w:spacing w:line="540" w:lineRule="exact"/>
        <w:ind w:left="960" w:leftChars="400"/>
        <w:jc w:val="both"/>
        <w:textAlignment w:val="auto"/>
        <w:rPr>
          <w:rFonts w:hint="eastAsia" w:hAnsi="仿宋"/>
          <w:b/>
          <w:bCs/>
          <w:color w:val="auto"/>
          <w:sz w:val="32"/>
          <w:szCs w:val="32"/>
          <w:highlight w:val="none"/>
          <w:lang w:eastAsia="zh-CN"/>
        </w:rPr>
      </w:pPr>
    </w:p>
    <w:p w14:paraId="09866812">
      <w:pPr>
        <w:pStyle w:val="245"/>
        <w:keepNext w:val="0"/>
        <w:keepLines w:val="0"/>
        <w:pageBreakBefore w:val="0"/>
        <w:widowControl w:val="0"/>
        <w:kinsoku/>
        <w:wordWrap/>
        <w:overflowPunct/>
        <w:topLinePunct w:val="0"/>
        <w:autoSpaceDE/>
        <w:autoSpaceDN/>
        <w:bidi w:val="0"/>
        <w:adjustRightInd w:val="0"/>
        <w:snapToGrid/>
        <w:spacing w:line="540" w:lineRule="exact"/>
        <w:ind w:left="960" w:leftChars="400"/>
        <w:jc w:val="both"/>
        <w:textAlignment w:val="auto"/>
        <w:rPr>
          <w:rFonts w:hint="eastAsia" w:hAnsi="仿宋"/>
          <w:b/>
          <w:bCs/>
          <w:color w:val="auto"/>
          <w:sz w:val="32"/>
          <w:szCs w:val="32"/>
          <w:highlight w:val="none"/>
          <w:lang w:eastAsia="zh-CN"/>
        </w:rPr>
      </w:pPr>
      <w:r>
        <w:rPr>
          <w:rFonts w:hint="eastAsia" w:hAnsi="仿宋"/>
          <w:b/>
          <w:bCs/>
          <w:color w:val="auto"/>
          <w:sz w:val="32"/>
          <w:szCs w:val="32"/>
          <w:highlight w:val="none"/>
        </w:rPr>
        <w:t>采购代理机构：</w:t>
      </w:r>
      <w:r>
        <w:rPr>
          <w:rFonts w:hint="eastAsia" w:hAnsi="仿宋"/>
          <w:b/>
          <w:bCs/>
          <w:color w:val="auto"/>
          <w:sz w:val="32"/>
          <w:szCs w:val="32"/>
          <w:highlight w:val="none"/>
          <w:lang w:eastAsia="zh-CN"/>
        </w:rPr>
        <w:t>泰州市天平工程咨询有限公司</w:t>
      </w:r>
    </w:p>
    <w:p w14:paraId="70A256E7">
      <w:pPr>
        <w:pStyle w:val="245"/>
        <w:spacing w:line="540" w:lineRule="exact"/>
        <w:jc w:val="both"/>
        <w:rPr>
          <w:rFonts w:hint="eastAsia" w:hAnsi="仿宋"/>
          <w:b/>
          <w:bCs/>
          <w:color w:val="auto"/>
          <w:sz w:val="32"/>
          <w:szCs w:val="32"/>
          <w:highlight w:val="none"/>
          <w:lang w:eastAsia="zh-CN"/>
        </w:rPr>
      </w:pPr>
    </w:p>
    <w:p w14:paraId="7C9800B5">
      <w:pPr>
        <w:pStyle w:val="245"/>
        <w:spacing w:line="540" w:lineRule="exact"/>
        <w:jc w:val="both"/>
        <w:rPr>
          <w:rFonts w:hint="eastAsia" w:hAnsi="仿宋"/>
          <w:b/>
          <w:bCs/>
          <w:color w:val="auto"/>
          <w:sz w:val="32"/>
          <w:szCs w:val="32"/>
          <w:highlight w:val="none"/>
          <w:lang w:eastAsia="zh-CN"/>
        </w:rPr>
      </w:pPr>
    </w:p>
    <w:p w14:paraId="1702059F">
      <w:pPr>
        <w:pStyle w:val="245"/>
        <w:spacing w:line="540" w:lineRule="exact"/>
        <w:ind w:left="-2" w:firstLine="2"/>
        <w:jc w:val="center"/>
        <w:rPr>
          <w:rFonts w:hAnsi="仿宋"/>
          <w:b/>
          <w:bCs/>
          <w:color w:val="auto"/>
          <w:sz w:val="32"/>
          <w:szCs w:val="32"/>
          <w:highlight w:val="none"/>
        </w:rPr>
      </w:pPr>
      <w:r>
        <w:rPr>
          <w:rFonts w:hint="eastAsia" w:hAnsi="仿宋"/>
          <w:b/>
          <w:bCs/>
          <w:color w:val="auto"/>
          <w:sz w:val="32"/>
          <w:szCs w:val="32"/>
          <w:highlight w:val="none"/>
        </w:rPr>
        <w:t>202</w:t>
      </w:r>
      <w:r>
        <w:rPr>
          <w:rFonts w:hint="eastAsia" w:hAnsi="仿宋"/>
          <w:b/>
          <w:bCs/>
          <w:color w:val="auto"/>
          <w:sz w:val="32"/>
          <w:szCs w:val="32"/>
          <w:highlight w:val="none"/>
          <w:lang w:val="en-US" w:eastAsia="zh-CN"/>
        </w:rPr>
        <w:t>6</w:t>
      </w:r>
      <w:r>
        <w:rPr>
          <w:rFonts w:hint="eastAsia" w:hAnsi="仿宋"/>
          <w:b/>
          <w:bCs/>
          <w:color w:val="auto"/>
          <w:sz w:val="32"/>
          <w:szCs w:val="32"/>
          <w:highlight w:val="none"/>
        </w:rPr>
        <w:t>年</w:t>
      </w:r>
      <w:r>
        <w:rPr>
          <w:rFonts w:hint="eastAsia" w:hAnsi="仿宋"/>
          <w:b/>
          <w:bCs/>
          <w:color w:val="auto"/>
          <w:sz w:val="32"/>
          <w:szCs w:val="32"/>
          <w:highlight w:val="none"/>
          <w:lang w:val="en-US" w:eastAsia="zh-CN"/>
        </w:rPr>
        <w:t>3</w:t>
      </w:r>
      <w:r>
        <w:rPr>
          <w:rFonts w:hint="eastAsia" w:hAnsi="仿宋"/>
          <w:b/>
          <w:bCs/>
          <w:color w:val="auto"/>
          <w:sz w:val="32"/>
          <w:szCs w:val="32"/>
          <w:highlight w:val="none"/>
        </w:rPr>
        <w:t>月</w:t>
      </w:r>
    </w:p>
    <w:p w14:paraId="05C8E606">
      <w:pPr>
        <w:rPr>
          <w:rFonts w:ascii="仿宋" w:hAnsi="仿宋" w:eastAsia="仿宋" w:cs="仿宋"/>
          <w:color w:val="auto"/>
          <w:highlight w:val="none"/>
        </w:rPr>
      </w:pPr>
    </w:p>
    <w:p w14:paraId="1627C465">
      <w:pPr>
        <w:pStyle w:val="243"/>
        <w:tabs>
          <w:tab w:val="left" w:pos="3240"/>
        </w:tabs>
        <w:spacing w:line="500" w:lineRule="exact"/>
        <w:ind w:left="-5" w:firstLine="3"/>
        <w:jc w:val="center"/>
        <w:outlineLvl w:val="0"/>
        <w:rPr>
          <w:rFonts w:ascii="仿宋" w:hAnsi="仿宋" w:eastAsia="仿宋" w:cs="仿宋"/>
          <w:color w:val="auto"/>
          <w:sz w:val="44"/>
          <w:szCs w:val="44"/>
          <w:highlight w:val="none"/>
        </w:rPr>
      </w:pPr>
      <w:r>
        <w:rPr>
          <w:rFonts w:hint="eastAsia" w:ascii="仿宋" w:hAnsi="仿宋" w:eastAsia="仿宋" w:cs="仿宋"/>
          <w:color w:val="auto"/>
          <w:sz w:val="44"/>
          <w:szCs w:val="44"/>
          <w:highlight w:val="none"/>
        </w:rPr>
        <w:t>第一章</w:t>
      </w:r>
      <w:bookmarkEnd w:id="0"/>
      <w:bookmarkEnd w:id="1"/>
      <w:bookmarkEnd w:id="2"/>
      <w:bookmarkEnd w:id="3"/>
      <w:bookmarkEnd w:id="4"/>
      <w:bookmarkEnd w:id="5"/>
      <w:bookmarkEnd w:id="6"/>
      <w:bookmarkEnd w:id="7"/>
      <w:bookmarkEnd w:id="8"/>
      <w:bookmarkEnd w:id="9"/>
      <w:r>
        <w:rPr>
          <w:rFonts w:hint="eastAsia" w:ascii="仿宋" w:hAnsi="仿宋" w:eastAsia="仿宋" w:cs="仿宋"/>
          <w:color w:val="auto"/>
          <w:sz w:val="44"/>
          <w:szCs w:val="44"/>
          <w:highlight w:val="none"/>
        </w:rPr>
        <w:t xml:space="preserve">  竞争性磋商公告</w:t>
      </w:r>
    </w:p>
    <w:p w14:paraId="5C0158A3">
      <w:pPr>
        <w:pStyle w:val="243"/>
        <w:tabs>
          <w:tab w:val="left" w:pos="3240"/>
        </w:tabs>
        <w:spacing w:line="500" w:lineRule="exact"/>
        <w:ind w:left="641" w:hanging="646"/>
        <w:jc w:val="center"/>
        <w:rPr>
          <w:rFonts w:ascii="仿宋" w:hAnsi="仿宋" w:eastAsia="仿宋" w:cs="仿宋"/>
          <w:b/>
          <w:color w:val="auto"/>
          <w:highlight w:val="none"/>
        </w:rPr>
      </w:pPr>
    </w:p>
    <w:p w14:paraId="1A7C2506">
      <w:pPr>
        <w:pBdr>
          <w:top w:val="single" w:color="auto" w:sz="4" w:space="1"/>
          <w:left w:val="single" w:color="auto" w:sz="4" w:space="4"/>
          <w:bottom w:val="single" w:color="auto" w:sz="4" w:space="1"/>
          <w:right w:val="single" w:color="auto" w:sz="4" w:space="4"/>
        </w:pBdr>
        <w:spacing w:line="500" w:lineRule="exact"/>
        <w:rPr>
          <w:rFonts w:ascii="仿宋" w:hAnsi="仿宋" w:eastAsia="仿宋" w:cs="仿宋"/>
          <w:color w:val="auto"/>
          <w:sz w:val="28"/>
          <w:szCs w:val="28"/>
          <w:highlight w:val="none"/>
        </w:rPr>
      </w:pPr>
      <w:bookmarkStart w:id="10" w:name="_Toc28359085"/>
      <w:bookmarkStart w:id="11" w:name="_Toc35393796"/>
      <w:bookmarkStart w:id="12" w:name="_Toc28359008"/>
      <w:bookmarkStart w:id="13" w:name="_Toc35393627"/>
      <w:r>
        <w:rPr>
          <w:rFonts w:hint="eastAsia" w:ascii="仿宋" w:hAnsi="仿宋" w:eastAsia="仿宋" w:cs="仿宋"/>
          <w:color w:val="auto"/>
          <w:sz w:val="28"/>
          <w:szCs w:val="28"/>
          <w:highlight w:val="none"/>
        </w:rPr>
        <w:t>项目概况</w:t>
      </w:r>
    </w:p>
    <w:p w14:paraId="7FC8B645">
      <w:pPr>
        <w:pBdr>
          <w:top w:val="single" w:color="auto" w:sz="4" w:space="1"/>
          <w:left w:val="single" w:color="auto" w:sz="4" w:space="4"/>
          <w:bottom w:val="single" w:color="auto" w:sz="4" w:space="1"/>
          <w:right w:val="single" w:color="auto" w:sz="4" w:space="4"/>
        </w:pBdr>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lang w:eastAsia="zh-CN"/>
        </w:rPr>
        <w:t>印桥社区雨水支管更换工程</w:t>
      </w:r>
      <w:r>
        <w:rPr>
          <w:rFonts w:hint="eastAsia" w:ascii="仿宋" w:hAnsi="仿宋" w:eastAsia="仿宋" w:cs="仿宋"/>
          <w:color w:val="auto"/>
          <w:sz w:val="28"/>
          <w:szCs w:val="28"/>
          <w:highlight w:val="none"/>
        </w:rPr>
        <w:t>采购项目的潜在供应商应在“苏采云”政府采购一体化平台获取采购文件，</w:t>
      </w:r>
      <w:r>
        <w:rPr>
          <w:rFonts w:hint="eastAsia" w:ascii="仿宋" w:hAnsi="仿宋" w:eastAsia="仿宋" w:cs="仿宋"/>
          <w:color w:val="0000FF"/>
          <w:sz w:val="28"/>
          <w:szCs w:val="28"/>
          <w:highlight w:val="none"/>
        </w:rPr>
        <w:t>并于202</w:t>
      </w:r>
      <w:r>
        <w:rPr>
          <w:rFonts w:hint="eastAsia" w:ascii="仿宋" w:hAnsi="仿宋" w:eastAsia="仿宋" w:cs="仿宋"/>
          <w:color w:val="0000FF"/>
          <w:sz w:val="28"/>
          <w:szCs w:val="28"/>
          <w:highlight w:val="none"/>
          <w:lang w:val="en-US" w:eastAsia="zh-CN"/>
        </w:rPr>
        <w:t>6</w:t>
      </w:r>
      <w:r>
        <w:rPr>
          <w:rFonts w:hint="eastAsia" w:ascii="仿宋" w:hAnsi="仿宋" w:eastAsia="仿宋" w:cs="仿宋"/>
          <w:color w:val="0000FF"/>
          <w:sz w:val="28"/>
          <w:szCs w:val="28"/>
          <w:highlight w:val="none"/>
        </w:rPr>
        <w:t>-</w:t>
      </w:r>
      <w:r>
        <w:rPr>
          <w:rFonts w:hint="eastAsia" w:ascii="仿宋" w:hAnsi="仿宋" w:eastAsia="仿宋" w:cs="仿宋"/>
          <w:color w:val="0000FF"/>
          <w:sz w:val="28"/>
          <w:szCs w:val="28"/>
          <w:highlight w:val="none"/>
          <w:lang w:val="en-US" w:eastAsia="zh-CN"/>
        </w:rPr>
        <w:t>5</w:t>
      </w:r>
      <w:r>
        <w:rPr>
          <w:rFonts w:hint="eastAsia" w:ascii="仿宋" w:hAnsi="仿宋" w:eastAsia="仿宋" w:cs="仿宋"/>
          <w:color w:val="0000FF"/>
          <w:sz w:val="28"/>
          <w:szCs w:val="28"/>
          <w:highlight w:val="none"/>
        </w:rPr>
        <w:t>-</w:t>
      </w:r>
      <w:r>
        <w:rPr>
          <w:rFonts w:hint="eastAsia" w:ascii="仿宋" w:hAnsi="仿宋" w:eastAsia="仿宋" w:cs="仿宋"/>
          <w:color w:val="0000FF"/>
          <w:sz w:val="28"/>
          <w:szCs w:val="28"/>
          <w:highlight w:val="none"/>
          <w:lang w:val="en-US" w:eastAsia="zh-CN"/>
        </w:rPr>
        <w:t>11-14</w:t>
      </w:r>
      <w:r>
        <w:rPr>
          <w:rFonts w:hint="eastAsia" w:ascii="仿宋" w:hAnsi="仿宋" w:eastAsia="仿宋" w:cs="仿宋"/>
          <w:color w:val="0000FF"/>
          <w:sz w:val="28"/>
          <w:szCs w:val="28"/>
          <w:highlight w:val="none"/>
        </w:rPr>
        <w:t>:</w:t>
      </w:r>
      <w:r>
        <w:rPr>
          <w:rFonts w:hint="eastAsia" w:ascii="仿宋" w:hAnsi="仿宋" w:eastAsia="仿宋" w:cs="仿宋"/>
          <w:color w:val="0000FF"/>
          <w:sz w:val="28"/>
          <w:szCs w:val="28"/>
          <w:highlight w:val="none"/>
          <w:lang w:val="en-US" w:eastAsia="zh-CN"/>
        </w:rPr>
        <w:t>30</w:t>
      </w:r>
      <w:r>
        <w:rPr>
          <w:rFonts w:hint="eastAsia" w:ascii="仿宋" w:hAnsi="仿宋" w:eastAsia="仿宋" w:cs="仿宋"/>
          <w:color w:val="0000FF"/>
          <w:sz w:val="28"/>
          <w:szCs w:val="28"/>
          <w:highlight w:val="none"/>
        </w:rPr>
        <w:t>（北京时间）</w:t>
      </w:r>
      <w:r>
        <w:rPr>
          <w:rFonts w:hint="eastAsia" w:ascii="仿宋" w:hAnsi="仿宋" w:eastAsia="仿宋" w:cs="仿宋"/>
          <w:color w:val="auto"/>
          <w:sz w:val="28"/>
          <w:szCs w:val="28"/>
          <w:highlight w:val="none"/>
        </w:rPr>
        <w:t>前提交响应文件。</w:t>
      </w:r>
    </w:p>
    <w:p w14:paraId="1B175430">
      <w:pPr>
        <w:spacing w:line="560" w:lineRule="exact"/>
        <w:ind w:firstLine="560"/>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一、项目基本情况</w:t>
      </w:r>
    </w:p>
    <w:p w14:paraId="17C7DF91">
      <w:pPr>
        <w:pStyle w:val="245"/>
        <w:spacing w:line="640" w:lineRule="exact"/>
        <w:ind w:firstLine="560"/>
        <w:jc w:val="both"/>
        <w:outlineLvl w:val="0"/>
        <w:rPr>
          <w:rFonts w:hint="eastAsia" w:hAnsi="仿宋"/>
          <w:color w:val="auto"/>
          <w:sz w:val="28"/>
          <w:szCs w:val="28"/>
          <w:highlight w:val="none"/>
          <w:lang w:val="en-US" w:eastAsia="zh-CN"/>
        </w:rPr>
      </w:pPr>
      <w:r>
        <w:rPr>
          <w:rFonts w:hint="eastAsia" w:hAnsi="仿宋"/>
          <w:color w:val="auto"/>
          <w:sz w:val="28"/>
          <w:szCs w:val="28"/>
          <w:highlight w:val="none"/>
        </w:rPr>
        <w:t>项目编号：</w:t>
      </w:r>
      <w:r>
        <w:rPr>
          <w:rFonts w:hint="eastAsia" w:hAnsi="仿宋"/>
          <w:color w:val="auto"/>
          <w:sz w:val="28"/>
          <w:szCs w:val="28"/>
          <w:highlight w:val="none"/>
          <w:lang w:eastAsia="zh-CN"/>
        </w:rPr>
        <w:t>JSZC-321283-TPTZ-C2026-000</w:t>
      </w:r>
      <w:r>
        <w:rPr>
          <w:rFonts w:hint="eastAsia" w:hAnsi="仿宋"/>
          <w:color w:val="auto"/>
          <w:sz w:val="28"/>
          <w:szCs w:val="28"/>
          <w:highlight w:val="none"/>
          <w:lang w:val="en-US" w:eastAsia="zh-CN"/>
        </w:rPr>
        <w:t>2</w:t>
      </w:r>
    </w:p>
    <w:p w14:paraId="57EC39A8">
      <w:pPr>
        <w:pStyle w:val="245"/>
        <w:spacing w:line="640" w:lineRule="exact"/>
        <w:ind w:firstLine="560"/>
        <w:jc w:val="both"/>
        <w:outlineLvl w:val="0"/>
        <w:rPr>
          <w:rFonts w:hint="eastAsia" w:hAnsi="仿宋" w:eastAsia="仿宋"/>
          <w:color w:val="auto"/>
          <w:sz w:val="28"/>
          <w:szCs w:val="28"/>
          <w:highlight w:val="none"/>
          <w:lang w:eastAsia="zh-CN"/>
        </w:rPr>
      </w:pPr>
      <w:r>
        <w:rPr>
          <w:rFonts w:hint="eastAsia" w:hAnsi="仿宋"/>
          <w:color w:val="auto"/>
          <w:sz w:val="28"/>
          <w:szCs w:val="28"/>
          <w:highlight w:val="none"/>
        </w:rPr>
        <w:t>项目名称</w:t>
      </w:r>
      <w:r>
        <w:rPr>
          <w:rFonts w:hint="eastAsia" w:hAnsi="仿宋"/>
          <w:color w:val="auto"/>
          <w:spacing w:val="-14"/>
          <w:sz w:val="28"/>
          <w:szCs w:val="28"/>
          <w:highlight w:val="none"/>
        </w:rPr>
        <w:t>：</w:t>
      </w:r>
      <w:r>
        <w:rPr>
          <w:rFonts w:hint="eastAsia" w:hAnsi="仿宋"/>
          <w:color w:val="auto"/>
          <w:sz w:val="28"/>
          <w:szCs w:val="28"/>
          <w:highlight w:val="none"/>
          <w:lang w:eastAsia="zh-CN"/>
        </w:rPr>
        <w:t xml:space="preserve">印桥社区雨水支管更换工程 </w:t>
      </w:r>
    </w:p>
    <w:p w14:paraId="7CC35AEE">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采购方式：竞争性磋商</w:t>
      </w:r>
    </w:p>
    <w:p w14:paraId="5183CC7F">
      <w:pPr>
        <w:spacing w:line="560" w:lineRule="exact"/>
        <w:ind w:firstLine="560"/>
        <w:rPr>
          <w:rFonts w:ascii="仿宋" w:hAnsi="仿宋" w:eastAsia="仿宋" w:cs="仿宋"/>
          <w:color w:val="0000FF"/>
          <w:sz w:val="28"/>
          <w:szCs w:val="28"/>
          <w:highlight w:val="none"/>
        </w:rPr>
      </w:pPr>
      <w:r>
        <w:rPr>
          <w:rFonts w:hint="eastAsia" w:ascii="仿宋" w:hAnsi="仿宋" w:eastAsia="仿宋" w:cs="仿宋"/>
          <w:color w:val="0000FF"/>
          <w:sz w:val="28"/>
          <w:szCs w:val="28"/>
          <w:highlight w:val="none"/>
        </w:rPr>
        <w:t>预算金额：</w:t>
      </w:r>
      <w:r>
        <w:rPr>
          <w:rFonts w:hint="eastAsia" w:ascii="仿宋" w:hAnsi="仿宋" w:eastAsia="仿宋" w:cs="仿宋"/>
          <w:color w:val="0000FF"/>
          <w:sz w:val="28"/>
          <w:szCs w:val="28"/>
          <w:highlight w:val="none"/>
          <w:lang w:val="en-US" w:eastAsia="zh-CN"/>
        </w:rPr>
        <w:t>332.504644</w:t>
      </w:r>
      <w:r>
        <w:rPr>
          <w:rFonts w:hint="eastAsia" w:ascii="仿宋" w:hAnsi="仿宋" w:eastAsia="仿宋" w:cs="仿宋"/>
          <w:color w:val="0000FF"/>
          <w:sz w:val="28"/>
          <w:szCs w:val="28"/>
          <w:highlight w:val="none"/>
        </w:rPr>
        <w:t>万元</w:t>
      </w:r>
    </w:p>
    <w:p w14:paraId="6F2CFD0C">
      <w:pPr>
        <w:spacing w:line="560" w:lineRule="exact"/>
        <w:ind w:firstLine="560"/>
        <w:rPr>
          <w:rFonts w:hint="eastAsia" w:ascii="仿宋" w:hAnsi="仿宋" w:eastAsia="仿宋" w:cs="仿宋"/>
          <w:color w:val="0000FF"/>
          <w:sz w:val="28"/>
          <w:szCs w:val="28"/>
          <w:highlight w:val="none"/>
          <w:lang w:eastAsia="zh-CN"/>
        </w:rPr>
      </w:pPr>
      <w:r>
        <w:rPr>
          <w:rFonts w:hint="eastAsia" w:ascii="仿宋" w:hAnsi="仿宋" w:eastAsia="仿宋" w:cs="仿宋"/>
          <w:color w:val="0000FF"/>
          <w:sz w:val="28"/>
          <w:szCs w:val="28"/>
          <w:highlight w:val="none"/>
        </w:rPr>
        <w:t>最高限价：</w:t>
      </w:r>
      <w:r>
        <w:rPr>
          <w:rFonts w:hint="eastAsia" w:ascii="仿宋" w:hAnsi="仿宋" w:eastAsia="仿宋" w:cs="仿宋"/>
          <w:color w:val="0000FF"/>
          <w:sz w:val="28"/>
          <w:szCs w:val="28"/>
          <w:highlight w:val="none"/>
          <w:lang w:val="en-US" w:eastAsia="zh-CN"/>
        </w:rPr>
        <w:t>279.3039</w:t>
      </w:r>
      <w:r>
        <w:rPr>
          <w:rFonts w:ascii="仿宋" w:hAnsi="仿宋" w:eastAsia="仿宋" w:cs="仿宋"/>
          <w:color w:val="0000FF"/>
          <w:sz w:val="28"/>
          <w:szCs w:val="28"/>
          <w:highlight w:val="none"/>
        </w:rPr>
        <w:t>万</w:t>
      </w:r>
      <w:r>
        <w:rPr>
          <w:rFonts w:hint="eastAsia" w:ascii="仿宋" w:hAnsi="仿宋" w:eastAsia="仿宋" w:cs="仿宋"/>
          <w:color w:val="0000FF"/>
          <w:sz w:val="28"/>
          <w:szCs w:val="28"/>
          <w:highlight w:val="none"/>
        </w:rPr>
        <w:t>元</w:t>
      </w:r>
      <w:r>
        <w:rPr>
          <w:rFonts w:hint="eastAsia" w:ascii="仿宋" w:hAnsi="仿宋" w:eastAsia="仿宋" w:cs="仿宋"/>
          <w:color w:val="0000FF"/>
          <w:sz w:val="28"/>
          <w:szCs w:val="28"/>
          <w:highlight w:val="none"/>
          <w:lang w:eastAsia="zh-CN"/>
        </w:rPr>
        <w:t>（报价高于最高限价为无效报价）</w:t>
      </w:r>
    </w:p>
    <w:p w14:paraId="3ECC1B29">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采购需求：主要建设内容包括</w:t>
      </w:r>
      <w:r>
        <w:rPr>
          <w:rFonts w:hint="eastAsia" w:ascii="仿宋" w:hAnsi="仿宋" w:eastAsia="仿宋" w:cs="仿宋"/>
          <w:color w:val="auto"/>
          <w:sz w:val="28"/>
          <w:szCs w:val="28"/>
          <w:highlight w:val="none"/>
          <w:lang w:val="en-US" w:eastAsia="zh-CN"/>
        </w:rPr>
        <w:t>更换DN75PVC-U管520米，更换DN100PVC-U管520米，更换DN300球墨铸铁管2890米，新建雨水边井386座以及现状主管清通、现状雨水井盖座破损更换，道路恢复等</w:t>
      </w:r>
      <w:r>
        <w:rPr>
          <w:rFonts w:hint="eastAsia" w:ascii="仿宋" w:hAnsi="仿宋" w:eastAsia="仿宋" w:cs="仿宋"/>
          <w:color w:val="auto"/>
          <w:sz w:val="28"/>
          <w:szCs w:val="28"/>
          <w:highlight w:val="none"/>
        </w:rPr>
        <w:t>。（具体内容详见工程量清单）</w:t>
      </w:r>
    </w:p>
    <w:p w14:paraId="2287715D">
      <w:pPr>
        <w:spacing w:line="560" w:lineRule="exact"/>
        <w:ind w:firstLine="560"/>
        <w:rPr>
          <w:rFonts w:hint="eastAsia" w:ascii="仿宋" w:hAnsi="仿宋" w:eastAsia="仿宋" w:cs="仿宋"/>
          <w:color w:val="0000FF"/>
          <w:sz w:val="28"/>
          <w:szCs w:val="28"/>
          <w:highlight w:val="none"/>
          <w:lang w:eastAsia="zh-CN"/>
        </w:rPr>
      </w:pPr>
      <w:r>
        <w:rPr>
          <w:rFonts w:hint="eastAsia" w:ascii="仿宋" w:hAnsi="仿宋" w:eastAsia="仿宋" w:cs="仿宋"/>
          <w:color w:val="0000FF"/>
          <w:sz w:val="28"/>
          <w:szCs w:val="28"/>
          <w:highlight w:val="none"/>
        </w:rPr>
        <w:t>合同履行期限：</w:t>
      </w:r>
      <w:r>
        <w:rPr>
          <w:rFonts w:hint="eastAsia" w:ascii="仿宋" w:hAnsi="仿宋" w:eastAsia="仿宋" w:cs="仿宋"/>
          <w:color w:val="0000FF"/>
          <w:sz w:val="28"/>
          <w:szCs w:val="28"/>
          <w:highlight w:val="none"/>
          <w:lang w:val="en-US" w:eastAsia="zh-CN"/>
        </w:rPr>
        <w:t>90</w:t>
      </w:r>
      <w:r>
        <w:rPr>
          <w:rFonts w:hint="eastAsia" w:ascii="仿宋" w:hAnsi="仿宋" w:eastAsia="仿宋" w:cs="仿宋"/>
          <w:color w:val="0000FF"/>
          <w:sz w:val="28"/>
          <w:szCs w:val="28"/>
          <w:highlight w:val="none"/>
          <w:lang w:eastAsia="zh-CN"/>
        </w:rPr>
        <w:t>日历天</w:t>
      </w:r>
    </w:p>
    <w:p w14:paraId="54499383">
      <w:pPr>
        <w:spacing w:line="560" w:lineRule="exact"/>
        <w:ind w:firstLine="56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付款方式：</w:t>
      </w:r>
      <w:r>
        <w:rPr>
          <w:rFonts w:hint="eastAsia" w:ascii="仿宋" w:hAnsi="仿宋" w:eastAsia="仿宋" w:cs="仿宋"/>
          <w:color w:val="0000FF"/>
          <w:sz w:val="28"/>
          <w:szCs w:val="28"/>
          <w:highlight w:val="none"/>
          <w:lang w:val="en-US" w:eastAsia="zh-CN" w:bidi="ar-SA"/>
        </w:rPr>
        <w:t>合同签订进场施工预付合同价（扣除暂列金额）的10%；按合格工程形象进度支付相应已完工程计量价款的80%，竣工结算审核后付至审定价的97%，余款作为质保金在工程竣验收合格两年后一次性付清(不计息)</w:t>
      </w:r>
    </w:p>
    <w:p w14:paraId="0F5A985D">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本项目（是/否）接受联合体投标：</w:t>
      </w:r>
      <w:r>
        <w:rPr>
          <w:rFonts w:hint="eastAsia" w:ascii="仿宋" w:hAnsi="仿宋" w:eastAsia="仿宋"/>
          <w:color w:val="auto"/>
          <w:sz w:val="28"/>
          <w:szCs w:val="28"/>
          <w:highlight w:val="none"/>
        </w:rPr>
        <w:t>否</w:t>
      </w:r>
    </w:p>
    <w:p w14:paraId="5847F0C5">
      <w:pPr>
        <w:spacing w:line="560" w:lineRule="exact"/>
        <w:ind w:firstLine="560"/>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二、申请人的资格要求</w:t>
      </w:r>
    </w:p>
    <w:p w14:paraId="7950C87B">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（一）满足《中华人民共和国政府采购法》第二十二条规定：</w:t>
      </w:r>
    </w:p>
    <w:p w14:paraId="7DB81270">
      <w:pPr>
        <w:spacing w:line="560" w:lineRule="exact"/>
        <w:ind w:firstLine="932" w:firstLineChars="3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1.基本资格条件的承诺（根据供应商提供的承诺函，内容完整且具有法人及法定代表人的印章）。</w:t>
      </w:r>
    </w:p>
    <w:p w14:paraId="67560842">
      <w:pPr>
        <w:spacing w:line="56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落实政府采购政策需满足的资格要求：本项目专门面向中小企业对应的中小企业划分标准所属行业为建筑业（注：中小企业划分标准参照工信部联企业[2011]300号文件规定），符合条件的中小企业应按照采购文件格式要求提供《中小企业声明函》，未提供的将作无效标处理。</w:t>
      </w:r>
    </w:p>
    <w:p w14:paraId="6335158C">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（三）本项目的特定资格要求：</w:t>
      </w:r>
    </w:p>
    <w:p w14:paraId="7FC79512">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（1）供应商须具有独立法人资格，具备有效的营业执照，且具备</w:t>
      </w:r>
      <w:r>
        <w:rPr>
          <w:rFonts w:hint="eastAsia" w:ascii="仿宋" w:hAnsi="仿宋" w:eastAsia="仿宋" w:cs="仿宋"/>
          <w:b/>
          <w:bCs/>
          <w:color w:val="auto"/>
          <w:sz w:val="28"/>
          <w:szCs w:val="28"/>
          <w:highlight w:val="none"/>
          <w:u w:val="single"/>
        </w:rPr>
        <w:t>[施工总承包·市政公用工程·市政公用工程三级](含)以上</w:t>
      </w:r>
      <w:r>
        <w:rPr>
          <w:rFonts w:hint="eastAsia" w:ascii="仿宋" w:hAnsi="仿宋" w:eastAsia="仿宋" w:cs="仿宋"/>
          <w:color w:val="auto"/>
          <w:sz w:val="28"/>
          <w:szCs w:val="28"/>
          <w:highlight w:val="none"/>
        </w:rPr>
        <w:t>资质，并在人员、设备、资金等方面具有相应的施工能力。</w:t>
      </w:r>
    </w:p>
    <w:p w14:paraId="6023264D">
      <w:pPr>
        <w:spacing w:line="560" w:lineRule="exact"/>
        <w:ind w:firstLine="560"/>
        <w:rPr>
          <w:rFonts w:ascii="仿宋" w:hAnsi="仿宋" w:eastAsia="仿宋" w:cs="仿宋"/>
          <w:color w:val="auto"/>
          <w:sz w:val="28"/>
          <w:szCs w:val="28"/>
          <w:highlight w:val="none"/>
        </w:rPr>
      </w:pPr>
      <w:r>
        <w:rPr>
          <w:rFonts w:hint="eastAsia" w:ascii="仿宋" w:hAnsi="仿宋" w:eastAsia="仿宋" w:cs="宋体"/>
          <w:color w:val="auto"/>
          <w:sz w:val="28"/>
          <w:szCs w:val="28"/>
          <w:highlight w:val="none"/>
        </w:rPr>
        <w:t>（2）</w:t>
      </w:r>
      <w:r>
        <w:rPr>
          <w:rFonts w:hint="eastAsia" w:ascii="仿宋" w:hAnsi="仿宋" w:eastAsia="仿宋" w:cs="仿宋"/>
          <w:color w:val="auto"/>
          <w:sz w:val="28"/>
          <w:szCs w:val="28"/>
          <w:highlight w:val="none"/>
        </w:rPr>
        <w:t>项目负责人须具备[市政公用工程建造师二级](含)以上执业资格。</w:t>
      </w:r>
    </w:p>
    <w:p w14:paraId="2F2E2AAE">
      <w:pPr>
        <w:spacing w:line="560" w:lineRule="exact"/>
        <w:ind w:firstLine="560"/>
        <w:rPr>
          <w:rFonts w:ascii="仿宋" w:hAnsi="仿宋" w:eastAsia="仿宋" w:cs="仿宋"/>
          <w:color w:val="auto"/>
          <w:sz w:val="28"/>
          <w:szCs w:val="28"/>
          <w:highlight w:val="none"/>
        </w:rPr>
      </w:pPr>
      <w:r>
        <w:rPr>
          <w:rFonts w:hint="eastAsia" w:ascii="仿宋" w:hAnsi="仿宋" w:eastAsia="仿宋" w:cs="宋体"/>
          <w:color w:val="auto"/>
          <w:sz w:val="28"/>
          <w:szCs w:val="28"/>
          <w:highlight w:val="none"/>
        </w:rPr>
        <w:t>（3</w:t>
      </w:r>
      <w:r>
        <w:rPr>
          <w:rFonts w:hint="eastAsia" w:ascii="仿宋" w:hAnsi="仿宋" w:eastAsia="仿宋" w:cs="仿宋"/>
          <w:color w:val="auto"/>
          <w:sz w:val="28"/>
          <w:szCs w:val="28"/>
          <w:highlight w:val="none"/>
        </w:rPr>
        <w:t>）投标人及拟派项目负责人应具备的其他要求：</w:t>
      </w:r>
    </w:p>
    <w:p w14:paraId="0C4A1C14">
      <w:pPr>
        <w:spacing w:line="560" w:lineRule="exact"/>
        <w:ind w:firstLine="56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①投标人具备有效的建筑施工企业安全生产许可证；</w:t>
      </w:r>
    </w:p>
    <w:p w14:paraId="3E8ADBA4">
      <w:pPr>
        <w:spacing w:line="560" w:lineRule="exact"/>
        <w:ind w:firstLine="560"/>
        <w:rPr>
          <w:rFonts w:ascii="仿宋" w:hAnsi="仿宋" w:eastAsia="仿宋" w:cs="宋体"/>
          <w:b/>
          <w:bCs/>
          <w:color w:val="auto"/>
          <w:sz w:val="28"/>
          <w:szCs w:val="28"/>
          <w:highlight w:val="none"/>
        </w:rPr>
      </w:pPr>
      <w:r>
        <w:rPr>
          <w:rFonts w:hint="eastAsia" w:ascii="仿宋" w:hAnsi="仿宋" w:eastAsia="仿宋" w:cs="宋体"/>
          <w:color w:val="auto"/>
          <w:sz w:val="28"/>
          <w:szCs w:val="28"/>
          <w:highlight w:val="none"/>
        </w:rPr>
        <w:t>②项目负责人具备建设行政主管部门颁发的有效的项目负责人安全生产考核合格证书（B证）；</w:t>
      </w:r>
    </w:p>
    <w:p w14:paraId="5F86A059">
      <w:pPr>
        <w:spacing w:line="560" w:lineRule="exact"/>
        <w:ind w:firstLine="56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（4）项目负责人无在建工程要求：</w:t>
      </w:r>
    </w:p>
    <w:p w14:paraId="1066981F">
      <w:pPr>
        <w:spacing w:line="560" w:lineRule="exact"/>
        <w:ind w:firstLine="56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①项目负责人是非变更后无在建工程。</w:t>
      </w:r>
    </w:p>
    <w:p w14:paraId="15D727E0">
      <w:pPr>
        <w:spacing w:line="560" w:lineRule="exact"/>
        <w:ind w:firstLine="56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②项目负责人是变更后无在建工程（必须是原合同工期已满且自变更备案之日起已满6个月），或因非承包方原因致使工程项目停工或因故不能按期开工、且已办理了项目负责人解锁手续。</w:t>
      </w:r>
    </w:p>
    <w:p w14:paraId="2C772844">
      <w:pPr>
        <w:spacing w:line="560" w:lineRule="exact"/>
        <w:ind w:firstLine="56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③项目负责人有在建工程，但该在建工程与本次采购的工程属于同一工程项目、同一项目批文、同一施工地点分段发包或分期施工的情况，且该在建工程与本次采购项目的规模总和在项目负责人资格执业范围内。</w:t>
      </w:r>
    </w:p>
    <w:p w14:paraId="79F166DE">
      <w:pPr>
        <w:spacing w:line="560" w:lineRule="exact"/>
        <w:ind w:firstLine="562"/>
        <w:rPr>
          <w:rFonts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注：以上在建工程是指在其他项目担任项目负责人职务。本项评审方式为承诺制，如查实供应商在《诚信投标承诺书》中虚假承诺，按弄虚作假处理。</w:t>
      </w:r>
    </w:p>
    <w:p w14:paraId="34D66BD6">
      <w:pPr>
        <w:spacing w:line="560" w:lineRule="exact"/>
        <w:ind w:firstLine="56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（5）项目负责人不得同时在两个或者两个以上单位受聘或者执业，仅限于以下情形：</w:t>
      </w:r>
    </w:p>
    <w:p w14:paraId="162FCE1A">
      <w:pPr>
        <w:spacing w:line="560" w:lineRule="exact"/>
        <w:ind w:firstLine="56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①同时在两个及以上单位签订劳动合同或交纳社会保险。</w:t>
      </w:r>
    </w:p>
    <w:p w14:paraId="70562E32">
      <w:pPr>
        <w:spacing w:line="560" w:lineRule="exact"/>
        <w:ind w:firstLine="56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②将本人执（职）业资格证书同时注册在两个及以上单位。</w:t>
      </w:r>
    </w:p>
    <w:p w14:paraId="497F9CB5">
      <w:pPr>
        <w:spacing w:line="560" w:lineRule="exact"/>
        <w:ind w:firstLine="56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③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ascii="仿宋" w:hAnsi="仿宋" w:eastAsia="仿宋" w:cs="宋体"/>
          <w:b/>
          <w:bCs/>
          <w:color w:val="auto"/>
          <w:sz w:val="28"/>
          <w:szCs w:val="28"/>
          <w:highlight w:val="none"/>
          <w:u w:val="single"/>
        </w:rPr>
        <w:t>提供查询截图</w:t>
      </w:r>
      <w:r>
        <w:rPr>
          <w:rFonts w:hint="eastAsia" w:ascii="仿宋" w:hAnsi="仿宋" w:eastAsia="仿宋" w:cs="宋体"/>
          <w:color w:val="auto"/>
          <w:sz w:val="28"/>
          <w:szCs w:val="28"/>
          <w:highlight w:val="none"/>
        </w:rPr>
        <w:t>。</w:t>
      </w:r>
    </w:p>
    <w:p w14:paraId="7CFCD6E5">
      <w:pPr>
        <w:spacing w:line="560" w:lineRule="exact"/>
        <w:ind w:firstLine="562"/>
        <w:rPr>
          <w:rFonts w:ascii="仿宋" w:hAnsi="仿宋" w:eastAsia="仿宋" w:cs="宋体"/>
          <w:b/>
          <w:bCs/>
          <w:color w:val="auto"/>
          <w:sz w:val="28"/>
          <w:szCs w:val="28"/>
          <w:highlight w:val="none"/>
        </w:rPr>
      </w:pPr>
      <w:r>
        <w:rPr>
          <w:rFonts w:hint="eastAsia" w:ascii="仿宋" w:hAnsi="仿宋" w:eastAsia="仿宋" w:cs="仿宋"/>
          <w:b/>
          <w:bCs/>
          <w:color w:val="auto"/>
          <w:sz w:val="28"/>
          <w:szCs w:val="28"/>
          <w:highlight w:val="none"/>
        </w:rPr>
        <w:t>注：此项①、②情形评审方式为承诺制，如查实供应商在《诚信投标承诺书》中虚假承诺，按弄虚作假处理。</w:t>
      </w:r>
    </w:p>
    <w:p w14:paraId="44DDEEA5">
      <w:pPr>
        <w:spacing w:line="560" w:lineRule="exact"/>
        <w:ind w:firstLine="565"/>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（6）供应商为拟派项目负责人缴纳的养老保险或其他证明材料</w:t>
      </w:r>
    </w:p>
    <w:p w14:paraId="120549E1">
      <w:pPr>
        <w:spacing w:line="560" w:lineRule="exact"/>
        <w:ind w:firstLine="56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①时间要求：投标截止日当月或上月。</w:t>
      </w:r>
    </w:p>
    <w:p w14:paraId="3F16BFE1">
      <w:pPr>
        <w:spacing w:line="560" w:lineRule="exact"/>
        <w:ind w:firstLine="56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p>
    <w:p w14:paraId="080D4953">
      <w:pPr>
        <w:spacing w:line="560" w:lineRule="exact"/>
        <w:ind w:firstLine="56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b.拟派项目负责人为退休人员的（不超过65岁），提供退休证明及企业与其签订的劳动用工合同。</w:t>
      </w:r>
    </w:p>
    <w:p w14:paraId="5F251E2B">
      <w:pPr>
        <w:spacing w:line="560" w:lineRule="exact"/>
        <w:ind w:firstLine="560"/>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三、获取采购文件</w:t>
      </w:r>
    </w:p>
    <w:p w14:paraId="115F34FB">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1.获取时间：自竞争性磋商文件公告发布之日起5个工作日</w:t>
      </w:r>
    </w:p>
    <w:p w14:paraId="78F9C1D5">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2.地点：“苏采云”政府采购一体化平台</w:t>
      </w:r>
    </w:p>
    <w:p w14:paraId="1FB4DD5A">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3.获取方式：供应商完成注册并办理CA证书后，登录江苏省政府采购管理交易系统（苏采云）（http://jszfcg.jsczt.cn/）获取本项目的竞争性磋商文件及有关资料。</w:t>
      </w:r>
    </w:p>
    <w:p w14:paraId="192AE109">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4.售价：0.00元</w:t>
      </w:r>
    </w:p>
    <w:p w14:paraId="54814F55">
      <w:pPr>
        <w:spacing w:line="560" w:lineRule="exact"/>
        <w:ind w:firstLine="560"/>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四、提交首次响应文件</w:t>
      </w:r>
    </w:p>
    <w:p w14:paraId="41E50141">
      <w:pPr>
        <w:spacing w:line="560" w:lineRule="exact"/>
        <w:ind w:firstLine="560"/>
        <w:rPr>
          <w:rFonts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1.截止时间：</w:t>
      </w:r>
      <w:r>
        <w:rPr>
          <w:rFonts w:hint="eastAsia" w:ascii="仿宋" w:hAnsi="仿宋" w:eastAsia="仿宋" w:cs="仿宋"/>
          <w:color w:val="0000FF"/>
          <w:sz w:val="28"/>
          <w:szCs w:val="28"/>
          <w:highlight w:val="none"/>
        </w:rPr>
        <w:t>202</w:t>
      </w:r>
      <w:r>
        <w:rPr>
          <w:rFonts w:hint="eastAsia" w:ascii="仿宋" w:hAnsi="仿宋" w:eastAsia="仿宋" w:cs="仿宋"/>
          <w:color w:val="0000FF"/>
          <w:sz w:val="28"/>
          <w:szCs w:val="28"/>
          <w:highlight w:val="none"/>
          <w:lang w:val="en-US" w:eastAsia="zh-CN"/>
        </w:rPr>
        <w:t>6</w:t>
      </w:r>
      <w:r>
        <w:rPr>
          <w:rFonts w:hint="eastAsia" w:ascii="仿宋" w:hAnsi="仿宋" w:eastAsia="仿宋" w:cs="仿宋"/>
          <w:color w:val="0000FF"/>
          <w:sz w:val="28"/>
          <w:szCs w:val="28"/>
          <w:highlight w:val="none"/>
        </w:rPr>
        <w:t>-</w:t>
      </w:r>
      <w:r>
        <w:rPr>
          <w:rFonts w:hint="eastAsia" w:ascii="仿宋" w:hAnsi="仿宋" w:eastAsia="仿宋" w:cs="仿宋"/>
          <w:color w:val="0000FF"/>
          <w:sz w:val="28"/>
          <w:szCs w:val="28"/>
          <w:highlight w:val="none"/>
          <w:lang w:val="en-US" w:eastAsia="zh-CN"/>
        </w:rPr>
        <w:t>5</w:t>
      </w:r>
      <w:r>
        <w:rPr>
          <w:rFonts w:hint="eastAsia" w:ascii="仿宋" w:hAnsi="仿宋" w:eastAsia="仿宋" w:cs="仿宋"/>
          <w:color w:val="0000FF"/>
          <w:sz w:val="28"/>
          <w:szCs w:val="28"/>
          <w:highlight w:val="none"/>
        </w:rPr>
        <w:t>-</w:t>
      </w:r>
      <w:r>
        <w:rPr>
          <w:rFonts w:hint="eastAsia" w:ascii="仿宋" w:hAnsi="仿宋" w:eastAsia="仿宋" w:cs="仿宋"/>
          <w:color w:val="0000FF"/>
          <w:sz w:val="28"/>
          <w:szCs w:val="28"/>
          <w:highlight w:val="none"/>
          <w:lang w:val="en-US" w:eastAsia="zh-CN"/>
        </w:rPr>
        <w:t>11-14</w:t>
      </w:r>
      <w:r>
        <w:rPr>
          <w:rFonts w:hint="eastAsia" w:ascii="仿宋" w:hAnsi="仿宋" w:eastAsia="仿宋" w:cs="仿宋"/>
          <w:b/>
          <w:bCs/>
          <w:color w:val="0000FF"/>
          <w:sz w:val="28"/>
          <w:szCs w:val="28"/>
          <w:highlight w:val="none"/>
        </w:rPr>
        <w:t>:</w:t>
      </w:r>
      <w:r>
        <w:rPr>
          <w:rFonts w:hint="eastAsia" w:ascii="仿宋" w:hAnsi="仿宋" w:eastAsia="仿宋" w:cs="仿宋"/>
          <w:b/>
          <w:bCs/>
          <w:color w:val="0000FF"/>
          <w:sz w:val="28"/>
          <w:szCs w:val="28"/>
          <w:highlight w:val="none"/>
          <w:lang w:val="en-US" w:eastAsia="zh-CN"/>
        </w:rPr>
        <w:t>30</w:t>
      </w:r>
      <w:r>
        <w:rPr>
          <w:rFonts w:hint="eastAsia" w:ascii="仿宋" w:hAnsi="仿宋" w:eastAsia="仿宋" w:cs="仿宋"/>
          <w:b/>
          <w:bCs/>
          <w:color w:val="auto"/>
          <w:sz w:val="28"/>
          <w:szCs w:val="28"/>
          <w:highlight w:val="none"/>
        </w:rPr>
        <w:t>（北京时间）</w:t>
      </w:r>
    </w:p>
    <w:p w14:paraId="41E1A3D7">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2.地点：“苏采云”政府采购一体化平台</w:t>
      </w:r>
    </w:p>
    <w:p w14:paraId="2C4A68A1">
      <w:pPr>
        <w:spacing w:line="560" w:lineRule="exact"/>
        <w:ind w:firstLine="560"/>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五、开启</w:t>
      </w:r>
    </w:p>
    <w:p w14:paraId="6EE3A1E4">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1.时间：</w:t>
      </w:r>
      <w:r>
        <w:rPr>
          <w:rFonts w:hint="eastAsia" w:ascii="仿宋" w:hAnsi="仿宋" w:eastAsia="仿宋" w:cs="仿宋"/>
          <w:color w:val="0000FF"/>
          <w:sz w:val="28"/>
          <w:szCs w:val="28"/>
          <w:highlight w:val="none"/>
        </w:rPr>
        <w:t>202</w:t>
      </w:r>
      <w:r>
        <w:rPr>
          <w:rFonts w:hint="eastAsia" w:ascii="仿宋" w:hAnsi="仿宋" w:eastAsia="仿宋" w:cs="仿宋"/>
          <w:color w:val="0000FF"/>
          <w:sz w:val="28"/>
          <w:szCs w:val="28"/>
          <w:highlight w:val="none"/>
          <w:lang w:val="en-US" w:eastAsia="zh-CN"/>
        </w:rPr>
        <w:t>6</w:t>
      </w:r>
      <w:r>
        <w:rPr>
          <w:rFonts w:hint="eastAsia" w:ascii="仿宋" w:hAnsi="仿宋" w:eastAsia="仿宋" w:cs="仿宋"/>
          <w:color w:val="0000FF"/>
          <w:sz w:val="28"/>
          <w:szCs w:val="28"/>
          <w:highlight w:val="none"/>
        </w:rPr>
        <w:t>-</w:t>
      </w:r>
      <w:r>
        <w:rPr>
          <w:rFonts w:hint="eastAsia" w:ascii="仿宋" w:hAnsi="仿宋" w:eastAsia="仿宋" w:cs="仿宋"/>
          <w:color w:val="0000FF"/>
          <w:sz w:val="28"/>
          <w:szCs w:val="28"/>
          <w:highlight w:val="none"/>
          <w:lang w:val="en-US" w:eastAsia="zh-CN"/>
        </w:rPr>
        <w:t>5</w:t>
      </w:r>
      <w:r>
        <w:rPr>
          <w:rFonts w:hint="eastAsia" w:ascii="仿宋" w:hAnsi="仿宋" w:eastAsia="仿宋" w:cs="仿宋"/>
          <w:color w:val="0000FF"/>
          <w:sz w:val="28"/>
          <w:szCs w:val="28"/>
          <w:highlight w:val="none"/>
        </w:rPr>
        <w:t>-</w:t>
      </w:r>
      <w:r>
        <w:rPr>
          <w:rFonts w:hint="eastAsia" w:ascii="仿宋" w:hAnsi="仿宋" w:eastAsia="仿宋" w:cs="仿宋"/>
          <w:color w:val="0000FF"/>
          <w:sz w:val="28"/>
          <w:szCs w:val="28"/>
          <w:highlight w:val="none"/>
          <w:lang w:val="en-US" w:eastAsia="zh-CN"/>
        </w:rPr>
        <w:t>11-14</w:t>
      </w:r>
      <w:r>
        <w:rPr>
          <w:rFonts w:hint="eastAsia" w:ascii="仿宋" w:hAnsi="仿宋" w:eastAsia="仿宋" w:cs="仿宋"/>
          <w:b/>
          <w:bCs/>
          <w:color w:val="0000FF"/>
          <w:sz w:val="28"/>
          <w:szCs w:val="28"/>
          <w:highlight w:val="none"/>
        </w:rPr>
        <w:t>:</w:t>
      </w:r>
      <w:r>
        <w:rPr>
          <w:rFonts w:hint="eastAsia" w:ascii="仿宋" w:hAnsi="仿宋" w:eastAsia="仿宋" w:cs="仿宋"/>
          <w:b/>
          <w:bCs/>
          <w:color w:val="0000FF"/>
          <w:sz w:val="28"/>
          <w:szCs w:val="28"/>
          <w:highlight w:val="none"/>
          <w:lang w:val="en-US" w:eastAsia="zh-CN"/>
        </w:rPr>
        <w:t>30</w:t>
      </w:r>
      <w:r>
        <w:rPr>
          <w:rFonts w:hint="eastAsia" w:ascii="仿宋" w:hAnsi="仿宋" w:eastAsia="仿宋" w:cs="仿宋"/>
          <w:b/>
          <w:bCs/>
          <w:color w:val="auto"/>
          <w:sz w:val="28"/>
          <w:szCs w:val="28"/>
          <w:highlight w:val="none"/>
        </w:rPr>
        <w:t>（北京时间）</w:t>
      </w:r>
    </w:p>
    <w:p w14:paraId="0444A3CB">
      <w:pPr>
        <w:spacing w:line="560" w:lineRule="exact"/>
        <w:ind w:firstLine="56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2.地点：</w:t>
      </w:r>
      <w:r>
        <w:rPr>
          <w:rFonts w:hint="eastAsia" w:ascii="仿宋" w:hAnsi="仿宋" w:eastAsia="仿宋" w:cs="仿宋"/>
          <w:color w:val="0000FF"/>
          <w:sz w:val="28"/>
          <w:szCs w:val="28"/>
          <w:highlight w:val="none"/>
        </w:rPr>
        <w:t>泰兴市政务服务中心三楼开标</w:t>
      </w:r>
      <w:r>
        <w:rPr>
          <w:rFonts w:hint="eastAsia" w:ascii="仿宋" w:hAnsi="仿宋" w:eastAsia="仿宋" w:cs="仿宋"/>
          <w:color w:val="0000FF"/>
          <w:sz w:val="28"/>
          <w:szCs w:val="28"/>
          <w:highlight w:val="none"/>
          <w:lang w:val="en-US" w:eastAsia="zh-CN"/>
        </w:rPr>
        <w:t>四</w:t>
      </w:r>
      <w:r>
        <w:rPr>
          <w:rFonts w:hint="eastAsia" w:ascii="仿宋" w:hAnsi="仿宋" w:eastAsia="仿宋" w:cs="仿宋"/>
          <w:color w:val="0000FF"/>
          <w:sz w:val="28"/>
          <w:szCs w:val="28"/>
          <w:highlight w:val="none"/>
        </w:rPr>
        <w:t>室(泰兴市文昌东路62号)</w:t>
      </w:r>
      <w:r>
        <w:rPr>
          <w:rFonts w:hint="eastAsia" w:ascii="仿宋" w:hAnsi="仿宋" w:eastAsia="仿宋" w:cs="仿宋"/>
          <w:color w:val="0000FF"/>
          <w:sz w:val="28"/>
          <w:szCs w:val="28"/>
          <w:highlight w:val="none"/>
          <w:lang w:eastAsia="zh-CN"/>
        </w:rPr>
        <w:t>。</w:t>
      </w:r>
    </w:p>
    <w:p w14:paraId="72B2F1D8">
      <w:pPr>
        <w:spacing w:line="560" w:lineRule="exact"/>
        <w:ind w:firstLine="560"/>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六、公告期限</w:t>
      </w:r>
    </w:p>
    <w:p w14:paraId="5B09207F">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自本公告发布之日起</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个工作日。</w:t>
      </w:r>
    </w:p>
    <w:p w14:paraId="05128246">
      <w:pPr>
        <w:spacing w:line="560" w:lineRule="exact"/>
        <w:ind w:firstLine="560"/>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七、其他补充事宜</w:t>
      </w:r>
    </w:p>
    <w:p w14:paraId="4DA711DA">
      <w:pPr>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1.磋商保证金：无须缴纳。</w:t>
      </w:r>
    </w:p>
    <w:p w14:paraId="77EAFC96">
      <w:pPr>
        <w:pStyle w:val="14"/>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2.采购信息发布媒介：江苏政府采购网（www.ccgp-jiangsu.gov.cn）。</w:t>
      </w:r>
    </w:p>
    <w:p w14:paraId="3603FBE7">
      <w:pPr>
        <w:spacing w:line="500" w:lineRule="exact"/>
        <w:ind w:firstLine="562"/>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3.注意事项：</w:t>
      </w:r>
    </w:p>
    <w:p w14:paraId="3E54E399">
      <w:pPr>
        <w:spacing w:line="500" w:lineRule="exact"/>
        <w:ind w:firstLine="562"/>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p>
    <w:p w14:paraId="0F2B0A4D">
      <w:pPr>
        <w:spacing w:line="500" w:lineRule="exact"/>
        <w:ind w:firstLine="562"/>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2）本项目采用电子化投标，供应商应根据《江苏省政府采购管理交易系统（苏采云）供应商操作手册》（“泰州市政府采购网—下载中心”下载）规定，制作、上传电子投标文件（技术支持电话：0523-87633965、0523-86897512；客服QQ：709339244、QQ：1810179072）。</w:t>
      </w:r>
    </w:p>
    <w:p w14:paraId="439A4715">
      <w:pPr>
        <w:spacing w:line="500" w:lineRule="exact"/>
        <w:ind w:firstLine="562"/>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（3）有关本次招标的事项若存在变动或修改，敬请及时关注“江苏政府采购网”发布的更正公告。</w:t>
      </w:r>
    </w:p>
    <w:p w14:paraId="4B82B307">
      <w:pPr>
        <w:spacing w:line="500" w:lineRule="exact"/>
        <w:ind w:firstLine="562"/>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如潜在供应商未按上述要求操作，将自行承担所产生的风险。</w:t>
      </w:r>
    </w:p>
    <w:p w14:paraId="68883455">
      <w:pPr>
        <w:spacing w:line="520" w:lineRule="exact"/>
        <w:ind w:firstLine="640"/>
        <w:outlineLvl w:val="1"/>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八、对本次招标提出询问，请按以下方式联系</w:t>
      </w:r>
      <w:bookmarkEnd w:id="10"/>
      <w:bookmarkEnd w:id="11"/>
      <w:bookmarkEnd w:id="12"/>
      <w:bookmarkEnd w:id="13"/>
    </w:p>
    <w:p w14:paraId="250EBE02">
      <w:pPr>
        <w:widowControl/>
        <w:spacing w:line="520" w:lineRule="exact"/>
        <w:ind w:firstLine="560"/>
        <w:jc w:val="left"/>
        <w:outlineLvl w:val="2"/>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1.采购人信息</w:t>
      </w:r>
    </w:p>
    <w:p w14:paraId="557B93FD">
      <w:pPr>
        <w:spacing w:line="520" w:lineRule="exact"/>
        <w:ind w:firstLine="560"/>
        <w:jc w:val="lef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名称：</w:t>
      </w:r>
      <w:r>
        <w:rPr>
          <w:rFonts w:hint="eastAsia" w:ascii="仿宋" w:hAnsi="仿宋" w:eastAsia="仿宋" w:cs="仿宋"/>
          <w:color w:val="auto"/>
          <w:sz w:val="28"/>
          <w:szCs w:val="28"/>
          <w:highlight w:val="none"/>
          <w:lang w:val="zh-CN"/>
        </w:rPr>
        <w:t>泰兴市滨江镇人民政府</w:t>
      </w:r>
    </w:p>
    <w:p w14:paraId="72F2CE2E">
      <w:pPr>
        <w:spacing w:line="520" w:lineRule="exact"/>
        <w:ind w:firstLine="56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lang w:eastAsia="zh-CN"/>
        </w:rPr>
        <w:t>泰兴市滨江镇</w:t>
      </w:r>
      <w:r>
        <w:rPr>
          <w:rFonts w:hint="eastAsia" w:ascii="仿宋" w:hAnsi="仿宋" w:eastAsia="仿宋" w:cs="仿宋"/>
          <w:color w:val="auto"/>
          <w:sz w:val="28"/>
          <w:szCs w:val="28"/>
          <w:highlight w:val="none"/>
        </w:rPr>
        <w:t xml:space="preserve"> </w:t>
      </w:r>
    </w:p>
    <w:p w14:paraId="0C6F95BC">
      <w:pPr>
        <w:spacing w:line="520" w:lineRule="exact"/>
        <w:ind w:firstLine="56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联系人：</w:t>
      </w:r>
      <w:r>
        <w:rPr>
          <w:rFonts w:hint="eastAsia" w:ascii="仿宋" w:hAnsi="仿宋" w:eastAsia="仿宋" w:cs="仿宋"/>
          <w:color w:val="auto"/>
          <w:sz w:val="28"/>
          <w:szCs w:val="28"/>
          <w:highlight w:val="none"/>
          <w:lang w:eastAsia="zh-CN"/>
        </w:rPr>
        <w:t>赵慧</w:t>
      </w:r>
    </w:p>
    <w:p w14:paraId="4E8617CA">
      <w:pPr>
        <w:spacing w:line="520" w:lineRule="exact"/>
        <w:ind w:firstLine="560"/>
        <w:jc w:val="left"/>
        <w:outlineLvl w:val="2"/>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联系方式：</w:t>
      </w:r>
      <w:bookmarkStart w:id="14" w:name="_Toc28359009"/>
      <w:bookmarkStart w:id="15" w:name="_Toc28359086"/>
      <w:r>
        <w:rPr>
          <w:rFonts w:hint="eastAsia" w:ascii="仿宋" w:hAnsi="仿宋" w:eastAsia="仿宋" w:cs="仿宋"/>
          <w:color w:val="auto"/>
          <w:sz w:val="28"/>
          <w:szCs w:val="28"/>
          <w:highlight w:val="none"/>
          <w:lang w:eastAsia="zh-CN"/>
        </w:rPr>
        <w:t>13812492748</w:t>
      </w:r>
    </w:p>
    <w:p w14:paraId="61DD7A43">
      <w:pPr>
        <w:spacing w:line="520" w:lineRule="exact"/>
        <w:ind w:firstLine="560"/>
        <w:jc w:val="left"/>
        <w:outlineLvl w:val="2"/>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2.采购代理机构信息</w:t>
      </w:r>
      <w:bookmarkEnd w:id="14"/>
      <w:bookmarkEnd w:id="15"/>
    </w:p>
    <w:p w14:paraId="252BD7A4">
      <w:pPr>
        <w:spacing w:line="520" w:lineRule="exact"/>
        <w:ind w:firstLine="56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名称：</w:t>
      </w:r>
      <w:r>
        <w:rPr>
          <w:rFonts w:hint="eastAsia" w:ascii="仿宋" w:hAnsi="仿宋" w:eastAsia="仿宋" w:cs="仿宋"/>
          <w:color w:val="auto"/>
          <w:sz w:val="28"/>
          <w:szCs w:val="28"/>
          <w:highlight w:val="none"/>
          <w:lang w:eastAsia="zh-CN"/>
        </w:rPr>
        <w:t>泰州市天平工程咨询有限公司</w:t>
      </w:r>
    </w:p>
    <w:p w14:paraId="4DEFA7F9">
      <w:pPr>
        <w:spacing w:line="520" w:lineRule="exact"/>
        <w:ind w:firstLine="56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地　址：</w:t>
      </w:r>
      <w:r>
        <w:rPr>
          <w:rFonts w:hint="eastAsia" w:ascii="仿宋" w:hAnsi="仿宋" w:eastAsia="仿宋" w:cs="仿宋"/>
          <w:color w:val="auto"/>
          <w:sz w:val="28"/>
          <w:szCs w:val="28"/>
          <w:highlight w:val="none"/>
          <w:lang w:eastAsia="zh-CN"/>
        </w:rPr>
        <w:t>泰兴市张桥镇江平路西侧</w:t>
      </w:r>
    </w:p>
    <w:p w14:paraId="10BB972C">
      <w:pPr>
        <w:spacing w:line="520" w:lineRule="exact"/>
        <w:ind w:firstLine="56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联系人：</w:t>
      </w:r>
      <w:r>
        <w:rPr>
          <w:rFonts w:hint="eastAsia" w:ascii="仿宋" w:hAnsi="仿宋" w:eastAsia="仿宋" w:cs="仿宋"/>
          <w:color w:val="auto"/>
          <w:sz w:val="28"/>
          <w:szCs w:val="28"/>
          <w:highlight w:val="none"/>
          <w:lang w:eastAsia="zh-CN"/>
        </w:rPr>
        <w:t>鞠进</w:t>
      </w:r>
    </w:p>
    <w:p w14:paraId="5E05B5F8">
      <w:pPr>
        <w:spacing w:line="520" w:lineRule="exact"/>
        <w:ind w:firstLine="560"/>
        <w:outlineLvl w:val="2"/>
        <w:rPr>
          <w:rFonts w:hint="default"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联系方式：</w:t>
      </w:r>
      <w:bookmarkStart w:id="16" w:name="_Toc28359087"/>
      <w:bookmarkStart w:id="17" w:name="_Toc28359010"/>
      <w:r>
        <w:rPr>
          <w:rFonts w:hint="eastAsia" w:ascii="仿宋" w:hAnsi="仿宋" w:eastAsia="仿宋" w:cs="仿宋"/>
          <w:color w:val="auto"/>
          <w:sz w:val="28"/>
          <w:szCs w:val="28"/>
          <w:highlight w:val="none"/>
          <w:lang w:val="en-US" w:eastAsia="zh-CN"/>
        </w:rPr>
        <w:t>19825583413</w:t>
      </w:r>
    </w:p>
    <w:p w14:paraId="6E6D31CD">
      <w:pPr>
        <w:spacing w:line="520" w:lineRule="exact"/>
        <w:ind w:firstLine="560"/>
        <w:outlineLvl w:val="2"/>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.项目联系方式</w:t>
      </w:r>
      <w:bookmarkEnd w:id="16"/>
      <w:bookmarkEnd w:id="17"/>
    </w:p>
    <w:p w14:paraId="7975D88D">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项目联系人：</w:t>
      </w:r>
      <w:r>
        <w:rPr>
          <w:rFonts w:hint="eastAsia" w:ascii="仿宋" w:hAnsi="仿宋" w:eastAsia="仿宋" w:cs="仿宋"/>
          <w:color w:val="auto"/>
          <w:sz w:val="28"/>
          <w:szCs w:val="28"/>
          <w:highlight w:val="none"/>
          <w:lang w:eastAsia="zh-CN"/>
        </w:rPr>
        <w:t>鞠进</w:t>
      </w:r>
    </w:p>
    <w:p w14:paraId="66EBF304">
      <w:pPr>
        <w:spacing w:line="520" w:lineRule="exact"/>
        <w:ind w:firstLine="56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电　话：</w:t>
      </w:r>
      <w:r>
        <w:rPr>
          <w:rFonts w:hint="eastAsia" w:ascii="仿宋" w:hAnsi="仿宋" w:eastAsia="仿宋" w:cs="仿宋"/>
          <w:color w:val="auto"/>
          <w:sz w:val="28"/>
          <w:szCs w:val="28"/>
          <w:highlight w:val="none"/>
          <w:lang w:eastAsia="zh-CN"/>
        </w:rPr>
        <w:t>19825583413</w:t>
      </w:r>
    </w:p>
    <w:p w14:paraId="5CC9517A">
      <w:pPr>
        <w:rPr>
          <w:rFonts w:ascii="仿宋" w:hAnsi="仿宋" w:eastAsia="仿宋" w:cs="仿宋"/>
          <w:color w:val="auto"/>
          <w:highlight w:val="none"/>
        </w:rPr>
      </w:pPr>
    </w:p>
    <w:p w14:paraId="0508878C">
      <w:pPr>
        <w:pStyle w:val="245"/>
        <w:spacing w:line="360" w:lineRule="exact"/>
        <w:rPr>
          <w:rFonts w:hAnsi="仿宋"/>
          <w:b/>
          <w:color w:val="auto"/>
          <w:sz w:val="44"/>
          <w:szCs w:val="44"/>
          <w:highlight w:val="none"/>
        </w:rPr>
      </w:pPr>
    </w:p>
    <w:p w14:paraId="73D73822">
      <w:pPr>
        <w:jc w:val="center"/>
        <w:rPr>
          <w:rStyle w:val="254"/>
          <w:rFonts w:eastAsia="宋体"/>
          <w:bCs/>
          <w:color w:val="auto"/>
          <w:sz w:val="32"/>
          <w:szCs w:val="32"/>
          <w:highlight w:val="none"/>
        </w:rPr>
      </w:pPr>
      <w:r>
        <w:rPr>
          <w:rFonts w:hint="eastAsia" w:ascii="仿宋" w:hAnsi="仿宋" w:eastAsia="仿宋" w:cs="仿宋"/>
          <w:color w:val="auto"/>
          <w:sz w:val="44"/>
          <w:szCs w:val="44"/>
          <w:highlight w:val="none"/>
        </w:rPr>
        <w:br w:type="page" w:clear="all"/>
      </w:r>
      <w:bookmarkStart w:id="18" w:name="_Toc11389"/>
      <w:r>
        <w:rPr>
          <w:rStyle w:val="254"/>
          <w:rFonts w:hint="eastAsia" w:eastAsia="宋体"/>
          <w:bCs/>
          <w:color w:val="auto"/>
          <w:sz w:val="32"/>
          <w:szCs w:val="32"/>
          <w:highlight w:val="none"/>
        </w:rPr>
        <w:t>第二章  供应商须知</w:t>
      </w:r>
      <w:bookmarkEnd w:id="18"/>
    </w:p>
    <w:p w14:paraId="4AB9F7A3">
      <w:pPr>
        <w:pStyle w:val="282"/>
        <w:spacing w:line="360" w:lineRule="exact"/>
        <w:ind w:firstLine="480"/>
        <w:rPr>
          <w:rFonts w:ascii="Times New Roman" w:hAnsi="Times New Roman" w:eastAsia="宋体"/>
          <w:b/>
          <w:bCs/>
          <w:color w:val="auto"/>
          <w:sz w:val="22"/>
          <w:szCs w:val="22"/>
          <w:highlight w:val="none"/>
        </w:rPr>
      </w:pPr>
      <w:bookmarkStart w:id="19" w:name="_Toc426469870"/>
      <w:bookmarkStart w:id="20" w:name="_Toc468783588"/>
      <w:r>
        <w:rPr>
          <w:rFonts w:hint="eastAsia" w:ascii="Times New Roman" w:hAnsi="Times New Roman" w:eastAsia="宋体"/>
          <w:b/>
          <w:bCs/>
          <w:color w:val="auto"/>
          <w:sz w:val="24"/>
          <w:szCs w:val="24"/>
          <w:highlight w:val="none"/>
        </w:rPr>
        <w:t>供应商须知前附表</w:t>
      </w:r>
      <w:bookmarkEnd w:id="19"/>
      <w:bookmarkEnd w:id="20"/>
    </w:p>
    <w:tbl>
      <w:tblPr>
        <w:tblStyle w:val="45"/>
        <w:tblW w:w="940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8"/>
        <w:gridCol w:w="2337"/>
        <w:gridCol w:w="6060"/>
      </w:tblGrid>
      <w:tr w14:paraId="7CA85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noWrap w:val="0"/>
          </w:tcPr>
          <w:p w14:paraId="2818D376">
            <w:pPr>
              <w:spacing w:before="73" w:line="288" w:lineRule="auto"/>
              <w:jc w:val="center"/>
              <w:rPr>
                <w:b/>
                <w:color w:val="auto"/>
                <w:highlight w:val="none"/>
              </w:rPr>
            </w:pPr>
            <w:r>
              <w:rPr>
                <w:b/>
                <w:color w:val="auto"/>
                <w:highlight w:val="none"/>
              </w:rPr>
              <w:t>条款号</w:t>
            </w:r>
          </w:p>
        </w:tc>
        <w:tc>
          <w:tcPr>
            <w:tcW w:w="2337" w:type="dxa"/>
            <w:noWrap w:val="0"/>
          </w:tcPr>
          <w:p w14:paraId="0E00C779">
            <w:pPr>
              <w:spacing w:before="73" w:line="288" w:lineRule="auto"/>
              <w:jc w:val="center"/>
              <w:rPr>
                <w:b/>
                <w:color w:val="auto"/>
                <w:highlight w:val="none"/>
              </w:rPr>
            </w:pPr>
            <w:r>
              <w:rPr>
                <w:b/>
                <w:color w:val="auto"/>
                <w:highlight w:val="none"/>
              </w:rPr>
              <w:t>条款名称</w:t>
            </w:r>
          </w:p>
        </w:tc>
        <w:tc>
          <w:tcPr>
            <w:tcW w:w="6060" w:type="dxa"/>
            <w:noWrap w:val="0"/>
          </w:tcPr>
          <w:p w14:paraId="556CBC5E">
            <w:pPr>
              <w:spacing w:before="73" w:line="288" w:lineRule="auto"/>
              <w:jc w:val="center"/>
              <w:rPr>
                <w:b/>
                <w:color w:val="auto"/>
                <w:highlight w:val="none"/>
              </w:rPr>
            </w:pPr>
            <w:r>
              <w:rPr>
                <w:b/>
                <w:color w:val="auto"/>
                <w:highlight w:val="none"/>
              </w:rPr>
              <w:t>编列内容</w:t>
            </w:r>
          </w:p>
        </w:tc>
      </w:tr>
      <w:tr w14:paraId="35F90A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noWrap w:val="0"/>
            <w:vAlign w:val="center"/>
          </w:tcPr>
          <w:p w14:paraId="6831F4FA">
            <w:pPr>
              <w:spacing w:before="73" w:line="288" w:lineRule="auto"/>
              <w:jc w:val="center"/>
              <w:rPr>
                <w:color w:val="auto"/>
                <w:sz w:val="22"/>
                <w:szCs w:val="22"/>
                <w:highlight w:val="none"/>
              </w:rPr>
            </w:pPr>
            <w:r>
              <w:rPr>
                <w:color w:val="auto"/>
                <w:sz w:val="22"/>
                <w:szCs w:val="22"/>
                <w:highlight w:val="none"/>
              </w:rPr>
              <w:t>1.1.2</w:t>
            </w:r>
          </w:p>
        </w:tc>
        <w:tc>
          <w:tcPr>
            <w:tcW w:w="2337" w:type="dxa"/>
            <w:noWrap w:val="0"/>
            <w:vAlign w:val="center"/>
          </w:tcPr>
          <w:p w14:paraId="05FE5C55">
            <w:pPr>
              <w:spacing w:before="73" w:line="288" w:lineRule="auto"/>
              <w:jc w:val="center"/>
              <w:rPr>
                <w:color w:val="auto"/>
                <w:sz w:val="22"/>
                <w:szCs w:val="22"/>
                <w:highlight w:val="none"/>
              </w:rPr>
            </w:pPr>
            <w:r>
              <w:rPr>
                <w:rFonts w:hint="eastAsia"/>
                <w:color w:val="auto"/>
                <w:sz w:val="22"/>
                <w:szCs w:val="22"/>
                <w:highlight w:val="none"/>
              </w:rPr>
              <w:t>采购人</w:t>
            </w:r>
          </w:p>
        </w:tc>
        <w:tc>
          <w:tcPr>
            <w:tcW w:w="6060" w:type="dxa"/>
            <w:noWrap w:val="0"/>
          </w:tcPr>
          <w:p w14:paraId="6A18C212">
            <w:pPr>
              <w:spacing w:line="288" w:lineRule="auto"/>
              <w:rPr>
                <w:rFonts w:hint="eastAsia" w:ascii="宋体" w:hAnsi="宋体"/>
                <w:color w:val="auto"/>
                <w:sz w:val="22"/>
                <w:szCs w:val="22"/>
                <w:highlight w:val="none"/>
                <w:lang w:eastAsia="zh-CN"/>
              </w:rPr>
            </w:pPr>
            <w:r>
              <w:rPr>
                <w:rFonts w:hint="eastAsia" w:ascii="宋体" w:hAnsi="宋体"/>
                <w:color w:val="auto"/>
                <w:sz w:val="22"/>
                <w:szCs w:val="22"/>
                <w:highlight w:val="none"/>
              </w:rPr>
              <w:t>名称：</w:t>
            </w:r>
            <w:r>
              <w:rPr>
                <w:rFonts w:hint="eastAsia" w:ascii="宋体" w:hAnsi="宋体"/>
                <w:color w:val="auto"/>
                <w:sz w:val="22"/>
                <w:szCs w:val="22"/>
                <w:highlight w:val="none"/>
                <w:lang w:eastAsia="zh-CN"/>
              </w:rPr>
              <w:t>泰兴市滨江镇人民政府</w:t>
            </w:r>
          </w:p>
          <w:p w14:paraId="590D8678">
            <w:pPr>
              <w:spacing w:line="288" w:lineRule="auto"/>
              <w:rPr>
                <w:rFonts w:ascii="宋体" w:hAnsi="宋体"/>
                <w:color w:val="auto"/>
                <w:sz w:val="22"/>
                <w:szCs w:val="22"/>
                <w:highlight w:val="none"/>
              </w:rPr>
            </w:pPr>
            <w:r>
              <w:rPr>
                <w:rFonts w:hint="eastAsia" w:ascii="宋体" w:hAnsi="宋体"/>
                <w:color w:val="auto"/>
                <w:sz w:val="22"/>
                <w:szCs w:val="22"/>
                <w:highlight w:val="none"/>
              </w:rPr>
              <w:t>地址：</w:t>
            </w:r>
            <w:r>
              <w:rPr>
                <w:rFonts w:hint="eastAsia" w:ascii="宋体" w:hAnsi="宋体"/>
                <w:color w:val="auto"/>
                <w:sz w:val="22"/>
                <w:szCs w:val="22"/>
                <w:highlight w:val="none"/>
                <w:lang w:eastAsia="zh-CN"/>
              </w:rPr>
              <w:t>泰兴市滨江镇</w:t>
            </w:r>
            <w:r>
              <w:rPr>
                <w:rFonts w:hint="eastAsia" w:ascii="宋体" w:hAnsi="宋体"/>
                <w:color w:val="auto"/>
                <w:sz w:val="22"/>
                <w:szCs w:val="22"/>
                <w:highlight w:val="none"/>
              </w:rPr>
              <w:t xml:space="preserve"> </w:t>
            </w:r>
          </w:p>
          <w:p w14:paraId="16FAADC9">
            <w:pPr>
              <w:spacing w:line="288" w:lineRule="auto"/>
              <w:rPr>
                <w:rFonts w:hint="eastAsia" w:ascii="宋体" w:hAnsi="宋体" w:eastAsia="宋体"/>
                <w:color w:val="auto"/>
                <w:sz w:val="22"/>
                <w:szCs w:val="22"/>
                <w:highlight w:val="none"/>
                <w:lang w:eastAsia="zh-CN"/>
              </w:rPr>
            </w:pPr>
            <w:r>
              <w:rPr>
                <w:rFonts w:hint="eastAsia" w:ascii="宋体" w:hAnsi="宋体"/>
                <w:color w:val="auto"/>
                <w:sz w:val="22"/>
                <w:szCs w:val="22"/>
                <w:highlight w:val="none"/>
              </w:rPr>
              <w:t>联系人：</w:t>
            </w:r>
            <w:r>
              <w:rPr>
                <w:rFonts w:hint="eastAsia" w:ascii="宋体" w:hAnsi="宋体"/>
                <w:color w:val="auto"/>
                <w:sz w:val="22"/>
                <w:szCs w:val="22"/>
                <w:highlight w:val="none"/>
                <w:lang w:eastAsia="zh-CN"/>
              </w:rPr>
              <w:t>赵慧</w:t>
            </w:r>
          </w:p>
          <w:p w14:paraId="1D955A24">
            <w:pPr>
              <w:spacing w:line="288" w:lineRule="auto"/>
              <w:rPr>
                <w:rFonts w:hint="default" w:eastAsia="宋体"/>
                <w:color w:val="auto"/>
                <w:sz w:val="22"/>
                <w:szCs w:val="22"/>
                <w:highlight w:val="none"/>
                <w:lang w:val="en-US" w:eastAsia="zh-CN"/>
              </w:rPr>
            </w:pPr>
            <w:r>
              <w:rPr>
                <w:rFonts w:hint="eastAsia" w:ascii="宋体" w:hAnsi="宋体"/>
                <w:color w:val="auto"/>
                <w:sz w:val="22"/>
                <w:szCs w:val="22"/>
                <w:highlight w:val="none"/>
              </w:rPr>
              <w:t>联系电话：</w:t>
            </w:r>
            <w:r>
              <w:rPr>
                <w:rFonts w:hint="eastAsia" w:ascii="宋体" w:hAnsi="宋体"/>
                <w:color w:val="auto"/>
                <w:sz w:val="22"/>
                <w:szCs w:val="22"/>
                <w:highlight w:val="none"/>
                <w:lang w:val="en-US" w:eastAsia="zh-CN"/>
              </w:rPr>
              <w:t>13812492748</w:t>
            </w:r>
          </w:p>
        </w:tc>
      </w:tr>
      <w:tr w14:paraId="64614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noWrap w:val="0"/>
            <w:vAlign w:val="center"/>
          </w:tcPr>
          <w:p w14:paraId="32330A4F">
            <w:pPr>
              <w:spacing w:before="73" w:line="288" w:lineRule="auto"/>
              <w:jc w:val="center"/>
              <w:rPr>
                <w:color w:val="auto"/>
                <w:sz w:val="22"/>
                <w:szCs w:val="22"/>
                <w:highlight w:val="none"/>
              </w:rPr>
            </w:pPr>
            <w:r>
              <w:rPr>
                <w:color w:val="auto"/>
                <w:sz w:val="22"/>
                <w:szCs w:val="22"/>
                <w:highlight w:val="none"/>
              </w:rPr>
              <w:t>1.1.3</w:t>
            </w:r>
          </w:p>
        </w:tc>
        <w:tc>
          <w:tcPr>
            <w:tcW w:w="2337" w:type="dxa"/>
            <w:noWrap w:val="0"/>
            <w:vAlign w:val="center"/>
          </w:tcPr>
          <w:p w14:paraId="0CE6ECA8">
            <w:pPr>
              <w:spacing w:before="73" w:line="288" w:lineRule="auto"/>
              <w:jc w:val="center"/>
              <w:rPr>
                <w:color w:val="auto"/>
                <w:sz w:val="22"/>
                <w:szCs w:val="22"/>
                <w:highlight w:val="none"/>
              </w:rPr>
            </w:pPr>
            <w:r>
              <w:rPr>
                <w:rFonts w:hint="eastAsia"/>
                <w:color w:val="auto"/>
                <w:sz w:val="22"/>
                <w:szCs w:val="22"/>
                <w:highlight w:val="none"/>
              </w:rPr>
              <w:t>采购</w:t>
            </w:r>
            <w:r>
              <w:rPr>
                <w:color w:val="auto"/>
                <w:sz w:val="22"/>
                <w:szCs w:val="22"/>
                <w:highlight w:val="none"/>
              </w:rPr>
              <w:t>代理机构</w:t>
            </w:r>
          </w:p>
        </w:tc>
        <w:tc>
          <w:tcPr>
            <w:tcW w:w="6060" w:type="dxa"/>
            <w:noWrap w:val="0"/>
          </w:tcPr>
          <w:p w14:paraId="0E9EE539">
            <w:pPr>
              <w:spacing w:line="288" w:lineRule="auto"/>
              <w:rPr>
                <w:rFonts w:hint="eastAsia" w:eastAsia="宋体"/>
                <w:color w:val="auto"/>
                <w:sz w:val="22"/>
                <w:szCs w:val="22"/>
                <w:highlight w:val="none"/>
                <w:lang w:eastAsia="zh-CN"/>
              </w:rPr>
            </w:pPr>
            <w:r>
              <w:rPr>
                <w:color w:val="auto"/>
                <w:sz w:val="22"/>
                <w:szCs w:val="22"/>
                <w:highlight w:val="none"/>
              </w:rPr>
              <w:t>名称：</w:t>
            </w:r>
            <w:r>
              <w:rPr>
                <w:rFonts w:hint="eastAsia"/>
                <w:color w:val="auto"/>
                <w:sz w:val="22"/>
                <w:szCs w:val="22"/>
                <w:highlight w:val="none"/>
                <w:lang w:eastAsia="zh-CN"/>
              </w:rPr>
              <w:t>泰州市天平工程咨询有限公司</w:t>
            </w:r>
          </w:p>
          <w:p w14:paraId="381E4CF9">
            <w:pPr>
              <w:spacing w:line="288" w:lineRule="auto"/>
              <w:rPr>
                <w:rFonts w:hint="eastAsia" w:eastAsia="宋体"/>
                <w:color w:val="auto"/>
                <w:sz w:val="22"/>
                <w:szCs w:val="22"/>
                <w:highlight w:val="none"/>
                <w:lang w:eastAsia="zh-CN"/>
              </w:rPr>
            </w:pPr>
            <w:r>
              <w:rPr>
                <w:rFonts w:hint="eastAsia"/>
                <w:color w:val="auto"/>
                <w:sz w:val="22"/>
                <w:szCs w:val="22"/>
                <w:highlight w:val="none"/>
              </w:rPr>
              <w:t>地址：</w:t>
            </w:r>
            <w:r>
              <w:rPr>
                <w:rFonts w:hint="eastAsia"/>
                <w:color w:val="auto"/>
                <w:sz w:val="22"/>
                <w:szCs w:val="22"/>
                <w:highlight w:val="none"/>
                <w:lang w:eastAsia="zh-CN"/>
              </w:rPr>
              <w:t>泰兴市张桥镇江平路西侧</w:t>
            </w:r>
          </w:p>
          <w:p w14:paraId="6798A1D2">
            <w:pPr>
              <w:spacing w:line="288" w:lineRule="auto"/>
              <w:rPr>
                <w:color w:val="auto"/>
                <w:sz w:val="22"/>
                <w:szCs w:val="22"/>
                <w:highlight w:val="none"/>
              </w:rPr>
            </w:pPr>
            <w:r>
              <w:rPr>
                <w:color w:val="auto"/>
                <w:sz w:val="22"/>
                <w:szCs w:val="22"/>
                <w:highlight w:val="none"/>
              </w:rPr>
              <w:t>联系人：</w:t>
            </w:r>
            <w:r>
              <w:rPr>
                <w:rFonts w:hint="eastAsia"/>
                <w:color w:val="auto"/>
                <w:sz w:val="22"/>
                <w:szCs w:val="22"/>
                <w:highlight w:val="none"/>
                <w:lang w:eastAsia="zh-CN"/>
              </w:rPr>
              <w:t>鞠进</w:t>
            </w:r>
          </w:p>
          <w:p w14:paraId="149E4277">
            <w:pPr>
              <w:spacing w:line="288" w:lineRule="auto"/>
              <w:rPr>
                <w:rFonts w:hint="default" w:eastAsia="宋体"/>
                <w:color w:val="auto"/>
                <w:sz w:val="22"/>
                <w:szCs w:val="22"/>
                <w:highlight w:val="none"/>
                <w:lang w:val="en-US" w:eastAsia="zh-CN"/>
              </w:rPr>
            </w:pPr>
            <w:r>
              <w:rPr>
                <w:rFonts w:hint="eastAsia"/>
                <w:color w:val="auto"/>
                <w:sz w:val="22"/>
                <w:szCs w:val="22"/>
                <w:highlight w:val="none"/>
              </w:rPr>
              <w:t>联系</w:t>
            </w:r>
            <w:r>
              <w:rPr>
                <w:color w:val="auto"/>
                <w:sz w:val="22"/>
                <w:szCs w:val="22"/>
                <w:highlight w:val="none"/>
              </w:rPr>
              <w:t>电话：</w:t>
            </w:r>
            <w:r>
              <w:rPr>
                <w:rFonts w:hint="eastAsia"/>
                <w:color w:val="auto"/>
                <w:sz w:val="22"/>
                <w:szCs w:val="22"/>
                <w:highlight w:val="none"/>
                <w:lang w:val="en-US" w:eastAsia="zh-CN"/>
              </w:rPr>
              <w:t>19825583413</w:t>
            </w:r>
          </w:p>
        </w:tc>
      </w:tr>
      <w:tr w14:paraId="74CDE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atLeast"/>
        </w:trPr>
        <w:tc>
          <w:tcPr>
            <w:tcW w:w="1008" w:type="dxa"/>
            <w:noWrap w:val="0"/>
            <w:vAlign w:val="center"/>
          </w:tcPr>
          <w:p w14:paraId="51AD5AD6">
            <w:pPr>
              <w:spacing w:before="73" w:line="288" w:lineRule="auto"/>
              <w:jc w:val="center"/>
              <w:rPr>
                <w:color w:val="auto"/>
                <w:sz w:val="22"/>
                <w:szCs w:val="22"/>
                <w:highlight w:val="none"/>
              </w:rPr>
            </w:pPr>
            <w:r>
              <w:rPr>
                <w:color w:val="auto"/>
                <w:sz w:val="22"/>
                <w:szCs w:val="22"/>
                <w:highlight w:val="none"/>
              </w:rPr>
              <w:t>1.1.4</w:t>
            </w:r>
          </w:p>
        </w:tc>
        <w:tc>
          <w:tcPr>
            <w:tcW w:w="2337" w:type="dxa"/>
            <w:noWrap w:val="0"/>
            <w:vAlign w:val="center"/>
          </w:tcPr>
          <w:p w14:paraId="78BC2B46">
            <w:pPr>
              <w:spacing w:before="73" w:line="288" w:lineRule="auto"/>
              <w:jc w:val="center"/>
              <w:rPr>
                <w:color w:val="auto"/>
                <w:sz w:val="22"/>
                <w:szCs w:val="22"/>
                <w:highlight w:val="none"/>
              </w:rPr>
            </w:pPr>
            <w:r>
              <w:rPr>
                <w:color w:val="auto"/>
                <w:sz w:val="22"/>
                <w:szCs w:val="22"/>
                <w:highlight w:val="none"/>
              </w:rPr>
              <w:t>项目名称</w:t>
            </w:r>
            <w:r>
              <w:rPr>
                <w:rFonts w:hint="eastAsia"/>
                <w:color w:val="auto"/>
                <w:sz w:val="22"/>
                <w:szCs w:val="22"/>
                <w:highlight w:val="none"/>
              </w:rPr>
              <w:t>及编号</w:t>
            </w:r>
          </w:p>
        </w:tc>
        <w:tc>
          <w:tcPr>
            <w:tcW w:w="6060" w:type="dxa"/>
            <w:noWrap w:val="0"/>
          </w:tcPr>
          <w:p w14:paraId="1909EFC4">
            <w:pPr>
              <w:spacing w:line="288" w:lineRule="auto"/>
              <w:rPr>
                <w:rFonts w:hint="eastAsia" w:eastAsia="宋体"/>
                <w:color w:val="auto"/>
                <w:sz w:val="22"/>
                <w:szCs w:val="22"/>
                <w:highlight w:val="none"/>
                <w:lang w:eastAsia="zh-CN"/>
              </w:rPr>
            </w:pPr>
            <w:r>
              <w:rPr>
                <w:rFonts w:hint="eastAsia"/>
                <w:color w:val="auto"/>
                <w:sz w:val="22"/>
                <w:szCs w:val="22"/>
                <w:highlight w:val="none"/>
              </w:rPr>
              <w:t>项目名称：</w:t>
            </w:r>
            <w:r>
              <w:rPr>
                <w:rFonts w:hint="eastAsia"/>
                <w:color w:val="auto"/>
                <w:sz w:val="22"/>
                <w:szCs w:val="22"/>
                <w:highlight w:val="none"/>
                <w:lang w:eastAsia="zh-CN"/>
              </w:rPr>
              <w:t xml:space="preserve">印桥社区雨水支管更换工程 </w:t>
            </w:r>
          </w:p>
          <w:p w14:paraId="7E938DDC">
            <w:pPr>
              <w:spacing w:line="288" w:lineRule="auto"/>
              <w:rPr>
                <w:rFonts w:hint="default" w:eastAsia="宋体"/>
                <w:color w:val="auto"/>
                <w:sz w:val="22"/>
                <w:szCs w:val="22"/>
                <w:highlight w:val="none"/>
                <w:lang w:val="en-US" w:eastAsia="zh-CN"/>
              </w:rPr>
            </w:pPr>
            <w:r>
              <w:rPr>
                <w:rFonts w:hint="eastAsia"/>
                <w:color w:val="auto"/>
                <w:sz w:val="22"/>
                <w:szCs w:val="22"/>
                <w:highlight w:val="none"/>
              </w:rPr>
              <w:t>项目编号：JSZC-321283-TPTZ-C2026-0002</w:t>
            </w:r>
          </w:p>
        </w:tc>
      </w:tr>
      <w:tr w14:paraId="2619C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noWrap w:val="0"/>
            <w:vAlign w:val="center"/>
          </w:tcPr>
          <w:p w14:paraId="520335FB">
            <w:pPr>
              <w:spacing w:before="73" w:line="288" w:lineRule="auto"/>
              <w:jc w:val="center"/>
              <w:rPr>
                <w:color w:val="auto"/>
                <w:sz w:val="22"/>
                <w:szCs w:val="22"/>
                <w:highlight w:val="none"/>
              </w:rPr>
            </w:pPr>
            <w:r>
              <w:rPr>
                <w:color w:val="auto"/>
                <w:sz w:val="22"/>
                <w:szCs w:val="22"/>
                <w:highlight w:val="none"/>
              </w:rPr>
              <w:t>1.2.1</w:t>
            </w:r>
          </w:p>
        </w:tc>
        <w:tc>
          <w:tcPr>
            <w:tcW w:w="2337" w:type="dxa"/>
            <w:noWrap w:val="0"/>
            <w:vAlign w:val="center"/>
          </w:tcPr>
          <w:p w14:paraId="01DBE708">
            <w:pPr>
              <w:spacing w:before="73" w:line="288" w:lineRule="auto"/>
              <w:jc w:val="center"/>
              <w:rPr>
                <w:color w:val="auto"/>
                <w:sz w:val="22"/>
                <w:szCs w:val="22"/>
                <w:highlight w:val="none"/>
              </w:rPr>
            </w:pPr>
            <w:r>
              <w:rPr>
                <w:color w:val="auto"/>
                <w:sz w:val="22"/>
                <w:szCs w:val="22"/>
                <w:highlight w:val="none"/>
              </w:rPr>
              <w:t>资金来源</w:t>
            </w:r>
            <w:r>
              <w:rPr>
                <w:rFonts w:hint="eastAsia"/>
                <w:color w:val="auto"/>
                <w:sz w:val="22"/>
                <w:szCs w:val="22"/>
                <w:highlight w:val="none"/>
              </w:rPr>
              <w:t>及出资比例</w:t>
            </w:r>
          </w:p>
        </w:tc>
        <w:tc>
          <w:tcPr>
            <w:tcW w:w="6060" w:type="dxa"/>
            <w:noWrap w:val="0"/>
          </w:tcPr>
          <w:p w14:paraId="6FF24EA8">
            <w:pPr>
              <w:spacing w:line="288" w:lineRule="auto"/>
              <w:rPr>
                <w:color w:val="auto"/>
                <w:sz w:val="22"/>
                <w:szCs w:val="22"/>
                <w:highlight w:val="none"/>
              </w:rPr>
            </w:pPr>
            <w:bookmarkStart w:id="21" w:name="EB0b51c78ec4aa43fdb5edf8e1b57ddda1"/>
            <w:r>
              <w:rPr>
                <w:rFonts w:hint="eastAsia"/>
                <w:color w:val="auto"/>
                <w:sz w:val="22"/>
                <w:szCs w:val="22"/>
                <w:highlight w:val="none"/>
              </w:rPr>
              <w:t>资金来源：</w:t>
            </w:r>
            <w:bookmarkEnd w:id="21"/>
            <w:r>
              <w:rPr>
                <w:rFonts w:hint="eastAsia"/>
                <w:color w:val="auto"/>
                <w:sz w:val="22"/>
                <w:szCs w:val="22"/>
                <w:highlight w:val="none"/>
              </w:rPr>
              <w:t>财政</w:t>
            </w:r>
          </w:p>
        </w:tc>
      </w:tr>
      <w:tr w14:paraId="1F82E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noWrap w:val="0"/>
            <w:vAlign w:val="center"/>
          </w:tcPr>
          <w:p w14:paraId="70BE3EEB">
            <w:pPr>
              <w:spacing w:before="73" w:line="288" w:lineRule="auto"/>
              <w:jc w:val="center"/>
              <w:rPr>
                <w:color w:val="auto"/>
                <w:sz w:val="22"/>
                <w:szCs w:val="22"/>
                <w:highlight w:val="none"/>
              </w:rPr>
            </w:pPr>
            <w:r>
              <w:rPr>
                <w:rFonts w:hint="eastAsia"/>
                <w:color w:val="auto"/>
                <w:sz w:val="22"/>
                <w:szCs w:val="22"/>
                <w:highlight w:val="none"/>
              </w:rPr>
              <w:t>1.2.2</w:t>
            </w:r>
          </w:p>
        </w:tc>
        <w:tc>
          <w:tcPr>
            <w:tcW w:w="2337" w:type="dxa"/>
            <w:noWrap w:val="0"/>
            <w:vAlign w:val="center"/>
          </w:tcPr>
          <w:p w14:paraId="439602DE">
            <w:pPr>
              <w:spacing w:before="73" w:line="288" w:lineRule="auto"/>
              <w:jc w:val="center"/>
              <w:rPr>
                <w:color w:val="auto"/>
                <w:sz w:val="22"/>
                <w:szCs w:val="22"/>
                <w:highlight w:val="none"/>
              </w:rPr>
            </w:pPr>
            <w:r>
              <w:rPr>
                <w:rFonts w:hint="eastAsia"/>
                <w:color w:val="auto"/>
                <w:sz w:val="22"/>
                <w:szCs w:val="22"/>
                <w:highlight w:val="none"/>
              </w:rPr>
              <w:t>资金落实情况</w:t>
            </w:r>
          </w:p>
        </w:tc>
        <w:tc>
          <w:tcPr>
            <w:tcW w:w="6060" w:type="dxa"/>
            <w:noWrap w:val="0"/>
          </w:tcPr>
          <w:p w14:paraId="3F508F21">
            <w:pPr>
              <w:spacing w:line="288" w:lineRule="auto"/>
              <w:rPr>
                <w:color w:val="auto"/>
                <w:sz w:val="22"/>
                <w:szCs w:val="22"/>
                <w:highlight w:val="none"/>
              </w:rPr>
            </w:pPr>
            <w:r>
              <w:rPr>
                <w:rFonts w:hint="eastAsia"/>
                <w:color w:val="auto"/>
                <w:sz w:val="22"/>
                <w:szCs w:val="22"/>
                <w:highlight w:val="none"/>
              </w:rPr>
              <w:t>已落实</w:t>
            </w:r>
          </w:p>
        </w:tc>
      </w:tr>
      <w:tr w14:paraId="4BE62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trPr>
        <w:tc>
          <w:tcPr>
            <w:tcW w:w="1008" w:type="dxa"/>
            <w:noWrap w:val="0"/>
            <w:vAlign w:val="center"/>
          </w:tcPr>
          <w:p w14:paraId="70D97B7C">
            <w:pPr>
              <w:spacing w:before="73" w:line="288" w:lineRule="auto"/>
              <w:jc w:val="center"/>
              <w:rPr>
                <w:color w:val="auto"/>
                <w:sz w:val="22"/>
                <w:szCs w:val="22"/>
                <w:highlight w:val="none"/>
              </w:rPr>
            </w:pPr>
            <w:r>
              <w:rPr>
                <w:rFonts w:hint="eastAsia"/>
                <w:color w:val="auto"/>
                <w:sz w:val="22"/>
                <w:szCs w:val="22"/>
                <w:highlight w:val="none"/>
              </w:rPr>
              <w:t>1.2.3</w:t>
            </w:r>
          </w:p>
        </w:tc>
        <w:tc>
          <w:tcPr>
            <w:tcW w:w="2337" w:type="dxa"/>
            <w:noWrap w:val="0"/>
            <w:vAlign w:val="center"/>
          </w:tcPr>
          <w:p w14:paraId="2F2B95DF">
            <w:pPr>
              <w:spacing w:before="73" w:line="288" w:lineRule="auto"/>
              <w:jc w:val="center"/>
              <w:rPr>
                <w:color w:val="auto"/>
                <w:sz w:val="22"/>
                <w:szCs w:val="22"/>
                <w:highlight w:val="none"/>
              </w:rPr>
            </w:pPr>
            <w:r>
              <w:rPr>
                <w:rFonts w:hint="eastAsia"/>
                <w:color w:val="auto"/>
                <w:sz w:val="22"/>
                <w:szCs w:val="22"/>
                <w:highlight w:val="none"/>
              </w:rPr>
              <w:t>付款方式</w:t>
            </w:r>
          </w:p>
        </w:tc>
        <w:tc>
          <w:tcPr>
            <w:tcW w:w="6060" w:type="dxa"/>
            <w:noWrap w:val="0"/>
            <w:vAlign w:val="center"/>
          </w:tcPr>
          <w:p w14:paraId="0AE459B0">
            <w:pPr>
              <w:spacing w:line="288" w:lineRule="auto"/>
              <w:rPr>
                <w:color w:val="auto"/>
                <w:sz w:val="22"/>
                <w:szCs w:val="22"/>
                <w:highlight w:val="none"/>
              </w:rPr>
            </w:pPr>
            <w:r>
              <w:rPr>
                <w:rFonts w:hint="eastAsia"/>
                <w:b/>
                <w:bCs/>
                <w:color w:val="auto"/>
                <w:sz w:val="22"/>
                <w:szCs w:val="22"/>
                <w:highlight w:val="none"/>
                <w:lang w:eastAsia="zh-CN"/>
              </w:rPr>
              <w:t>合同签订进场施工预付合同价（扣除暂列金额）的10%；按合格工程形象进度支付相应已完工程计量价款的80%，竣工结算审核后付至审定价的97%，余款作为质保金在工程竣验收合格两年后一次性付清(不计息)</w:t>
            </w:r>
          </w:p>
        </w:tc>
      </w:tr>
      <w:tr w14:paraId="0EEE28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1008" w:type="dxa"/>
            <w:noWrap w:val="0"/>
            <w:vAlign w:val="center"/>
          </w:tcPr>
          <w:p w14:paraId="51B7038F">
            <w:pPr>
              <w:spacing w:before="73" w:line="288" w:lineRule="auto"/>
              <w:jc w:val="center"/>
              <w:rPr>
                <w:color w:val="auto"/>
                <w:sz w:val="22"/>
                <w:szCs w:val="22"/>
                <w:highlight w:val="none"/>
              </w:rPr>
            </w:pPr>
            <w:r>
              <w:rPr>
                <w:color w:val="auto"/>
                <w:sz w:val="22"/>
                <w:szCs w:val="22"/>
                <w:highlight w:val="none"/>
              </w:rPr>
              <w:t>1.</w:t>
            </w:r>
            <w:r>
              <w:rPr>
                <w:rFonts w:hint="eastAsia"/>
                <w:color w:val="auto"/>
                <w:sz w:val="22"/>
                <w:szCs w:val="22"/>
                <w:highlight w:val="none"/>
              </w:rPr>
              <w:t>3</w:t>
            </w:r>
            <w:r>
              <w:rPr>
                <w:color w:val="auto"/>
                <w:sz w:val="22"/>
                <w:szCs w:val="22"/>
                <w:highlight w:val="none"/>
              </w:rPr>
              <w:t>.1</w:t>
            </w:r>
          </w:p>
        </w:tc>
        <w:tc>
          <w:tcPr>
            <w:tcW w:w="2337" w:type="dxa"/>
            <w:noWrap w:val="0"/>
            <w:vAlign w:val="center"/>
          </w:tcPr>
          <w:p w14:paraId="37214C1D">
            <w:pPr>
              <w:spacing w:before="73" w:line="288" w:lineRule="auto"/>
              <w:jc w:val="center"/>
              <w:rPr>
                <w:color w:val="auto"/>
                <w:sz w:val="22"/>
                <w:szCs w:val="22"/>
                <w:highlight w:val="none"/>
              </w:rPr>
            </w:pPr>
            <w:r>
              <w:rPr>
                <w:rFonts w:hint="eastAsia"/>
                <w:color w:val="auto"/>
                <w:sz w:val="22"/>
                <w:szCs w:val="22"/>
                <w:highlight w:val="none"/>
              </w:rPr>
              <w:t>采购范围</w:t>
            </w:r>
          </w:p>
        </w:tc>
        <w:tc>
          <w:tcPr>
            <w:tcW w:w="6060" w:type="dxa"/>
            <w:noWrap w:val="0"/>
            <w:vAlign w:val="center"/>
          </w:tcPr>
          <w:p w14:paraId="163AEBAD">
            <w:pPr>
              <w:spacing w:before="73" w:line="288" w:lineRule="auto"/>
              <w:rPr>
                <w:color w:val="auto"/>
                <w:sz w:val="22"/>
                <w:szCs w:val="22"/>
                <w:highlight w:val="none"/>
              </w:rPr>
            </w:pPr>
            <w:r>
              <w:rPr>
                <w:rFonts w:hint="eastAsia"/>
                <w:color w:val="auto"/>
                <w:sz w:val="22"/>
                <w:szCs w:val="22"/>
                <w:highlight w:val="none"/>
              </w:rPr>
              <w:t>见竞争性磋商公告</w:t>
            </w:r>
          </w:p>
        </w:tc>
      </w:tr>
      <w:tr w14:paraId="42CC7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1008" w:type="dxa"/>
            <w:noWrap w:val="0"/>
            <w:vAlign w:val="center"/>
          </w:tcPr>
          <w:p w14:paraId="464E1E00">
            <w:pPr>
              <w:spacing w:before="73" w:line="288" w:lineRule="auto"/>
              <w:jc w:val="center"/>
              <w:rPr>
                <w:color w:val="auto"/>
                <w:sz w:val="22"/>
                <w:szCs w:val="22"/>
                <w:highlight w:val="none"/>
              </w:rPr>
            </w:pPr>
            <w:r>
              <w:rPr>
                <w:color w:val="auto"/>
                <w:sz w:val="22"/>
                <w:szCs w:val="22"/>
                <w:highlight w:val="none"/>
              </w:rPr>
              <w:t>1.3.2</w:t>
            </w:r>
          </w:p>
        </w:tc>
        <w:tc>
          <w:tcPr>
            <w:tcW w:w="2337" w:type="dxa"/>
            <w:noWrap w:val="0"/>
            <w:vAlign w:val="center"/>
          </w:tcPr>
          <w:p w14:paraId="6FC2B939">
            <w:pPr>
              <w:spacing w:before="73" w:line="288" w:lineRule="auto"/>
              <w:jc w:val="center"/>
              <w:rPr>
                <w:color w:val="auto"/>
                <w:sz w:val="22"/>
                <w:szCs w:val="22"/>
                <w:highlight w:val="none"/>
              </w:rPr>
            </w:pPr>
            <w:r>
              <w:rPr>
                <w:rFonts w:hint="eastAsia"/>
                <w:color w:val="auto"/>
                <w:sz w:val="22"/>
                <w:szCs w:val="22"/>
                <w:highlight w:val="none"/>
              </w:rPr>
              <w:t>合同履行期（</w:t>
            </w:r>
            <w:r>
              <w:rPr>
                <w:color w:val="auto"/>
                <w:sz w:val="22"/>
                <w:szCs w:val="22"/>
                <w:highlight w:val="none"/>
              </w:rPr>
              <w:t>工期</w:t>
            </w:r>
            <w:r>
              <w:rPr>
                <w:rFonts w:hint="eastAsia"/>
                <w:color w:val="auto"/>
                <w:sz w:val="22"/>
                <w:szCs w:val="22"/>
                <w:highlight w:val="none"/>
              </w:rPr>
              <w:t>）</w:t>
            </w:r>
          </w:p>
        </w:tc>
        <w:tc>
          <w:tcPr>
            <w:tcW w:w="6060" w:type="dxa"/>
            <w:noWrap w:val="0"/>
            <w:vAlign w:val="center"/>
          </w:tcPr>
          <w:p w14:paraId="3044A464">
            <w:pPr>
              <w:spacing w:before="73" w:line="288" w:lineRule="auto"/>
              <w:rPr>
                <w:rFonts w:eastAsia="仿宋"/>
                <w:color w:val="auto"/>
                <w:sz w:val="22"/>
                <w:szCs w:val="22"/>
                <w:highlight w:val="none"/>
              </w:rPr>
            </w:pPr>
            <w:r>
              <w:rPr>
                <w:rFonts w:hint="eastAsia"/>
                <w:color w:val="auto"/>
                <w:sz w:val="22"/>
                <w:szCs w:val="22"/>
                <w:highlight w:val="none"/>
              </w:rPr>
              <w:t>见竞争性磋商公告</w:t>
            </w:r>
          </w:p>
        </w:tc>
      </w:tr>
      <w:tr w14:paraId="0B3200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trPr>
        <w:tc>
          <w:tcPr>
            <w:tcW w:w="1008" w:type="dxa"/>
            <w:noWrap w:val="0"/>
            <w:vAlign w:val="center"/>
          </w:tcPr>
          <w:p w14:paraId="2EA07C61">
            <w:pPr>
              <w:spacing w:before="73" w:line="288" w:lineRule="auto"/>
              <w:jc w:val="center"/>
              <w:rPr>
                <w:color w:val="auto"/>
                <w:sz w:val="22"/>
                <w:szCs w:val="22"/>
                <w:highlight w:val="none"/>
              </w:rPr>
            </w:pPr>
            <w:r>
              <w:rPr>
                <w:rFonts w:hint="eastAsia"/>
                <w:color w:val="auto"/>
                <w:sz w:val="22"/>
                <w:szCs w:val="22"/>
                <w:highlight w:val="none"/>
              </w:rPr>
              <w:t>1.3.3</w:t>
            </w:r>
          </w:p>
        </w:tc>
        <w:tc>
          <w:tcPr>
            <w:tcW w:w="2337" w:type="dxa"/>
            <w:noWrap w:val="0"/>
            <w:vAlign w:val="center"/>
          </w:tcPr>
          <w:p w14:paraId="693D1100">
            <w:pPr>
              <w:spacing w:before="73" w:line="288" w:lineRule="auto"/>
              <w:jc w:val="center"/>
              <w:rPr>
                <w:color w:val="auto"/>
                <w:sz w:val="22"/>
                <w:szCs w:val="22"/>
                <w:highlight w:val="none"/>
              </w:rPr>
            </w:pPr>
            <w:r>
              <w:rPr>
                <w:rFonts w:hint="eastAsia"/>
                <w:color w:val="auto"/>
                <w:sz w:val="22"/>
                <w:szCs w:val="22"/>
                <w:highlight w:val="none"/>
              </w:rPr>
              <w:t>质量要求</w:t>
            </w:r>
          </w:p>
        </w:tc>
        <w:tc>
          <w:tcPr>
            <w:tcW w:w="6060" w:type="dxa"/>
            <w:noWrap w:val="0"/>
            <w:vAlign w:val="center"/>
          </w:tcPr>
          <w:p w14:paraId="4FD32760">
            <w:pPr>
              <w:spacing w:before="73" w:line="288" w:lineRule="auto"/>
              <w:rPr>
                <w:color w:val="auto"/>
                <w:sz w:val="22"/>
                <w:szCs w:val="22"/>
                <w:highlight w:val="none"/>
              </w:rPr>
            </w:pPr>
            <w:r>
              <w:rPr>
                <w:rFonts w:hint="eastAsia"/>
                <w:color w:val="auto"/>
                <w:sz w:val="22"/>
                <w:szCs w:val="22"/>
                <w:highlight w:val="none"/>
              </w:rPr>
              <w:t>质量标准：合格</w:t>
            </w:r>
          </w:p>
        </w:tc>
      </w:tr>
      <w:tr w14:paraId="568A02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6" w:hRule="atLeast"/>
        </w:trPr>
        <w:tc>
          <w:tcPr>
            <w:tcW w:w="1008" w:type="dxa"/>
            <w:noWrap w:val="0"/>
            <w:vAlign w:val="center"/>
          </w:tcPr>
          <w:p w14:paraId="2CEDBD0A">
            <w:pPr>
              <w:spacing w:before="73" w:line="288" w:lineRule="auto"/>
              <w:jc w:val="center"/>
              <w:rPr>
                <w:color w:val="auto"/>
                <w:sz w:val="22"/>
                <w:szCs w:val="22"/>
                <w:highlight w:val="none"/>
              </w:rPr>
            </w:pPr>
            <w:r>
              <w:rPr>
                <w:rFonts w:hint="eastAsia"/>
                <w:color w:val="auto"/>
                <w:sz w:val="22"/>
                <w:szCs w:val="22"/>
                <w:highlight w:val="none"/>
              </w:rPr>
              <w:t>1.4.2</w:t>
            </w:r>
          </w:p>
        </w:tc>
        <w:tc>
          <w:tcPr>
            <w:tcW w:w="2337" w:type="dxa"/>
            <w:noWrap w:val="0"/>
            <w:vAlign w:val="center"/>
          </w:tcPr>
          <w:p w14:paraId="6E5FD2C7">
            <w:pPr>
              <w:spacing w:before="73" w:line="288" w:lineRule="auto"/>
              <w:jc w:val="center"/>
              <w:rPr>
                <w:color w:val="auto"/>
                <w:sz w:val="22"/>
                <w:szCs w:val="22"/>
                <w:highlight w:val="none"/>
              </w:rPr>
            </w:pPr>
            <w:r>
              <w:rPr>
                <w:rFonts w:hint="eastAsia"/>
                <w:color w:val="auto"/>
                <w:sz w:val="22"/>
                <w:szCs w:val="22"/>
                <w:highlight w:val="none"/>
              </w:rPr>
              <w:t>落实政府采购政策需满足的资格要求</w:t>
            </w:r>
          </w:p>
        </w:tc>
        <w:tc>
          <w:tcPr>
            <w:tcW w:w="6060" w:type="dxa"/>
            <w:noWrap w:val="0"/>
            <w:vAlign w:val="center"/>
          </w:tcPr>
          <w:p w14:paraId="4A3D1286">
            <w:pPr>
              <w:spacing w:before="73" w:line="288" w:lineRule="auto"/>
              <w:rPr>
                <w:color w:val="auto"/>
                <w:sz w:val="22"/>
                <w:szCs w:val="22"/>
                <w:highlight w:val="none"/>
              </w:rPr>
            </w:pPr>
            <w:r>
              <w:rPr>
                <w:rFonts w:hint="eastAsia"/>
                <w:color w:val="auto"/>
                <w:sz w:val="22"/>
                <w:szCs w:val="22"/>
                <w:highlight w:val="none"/>
              </w:rPr>
              <w:t>本项目专门面向中小企业，供应商应为中小微企业、监狱企业、残疾人福利性单位。</w:t>
            </w:r>
          </w:p>
        </w:tc>
      </w:tr>
      <w:tr w14:paraId="3D929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Merge w:val="restart"/>
            <w:noWrap w:val="0"/>
            <w:vAlign w:val="center"/>
          </w:tcPr>
          <w:p w14:paraId="7ED3A4BA">
            <w:pPr>
              <w:spacing w:before="73" w:line="288" w:lineRule="auto"/>
              <w:jc w:val="center"/>
              <w:rPr>
                <w:color w:val="auto"/>
                <w:sz w:val="22"/>
                <w:szCs w:val="22"/>
                <w:highlight w:val="none"/>
              </w:rPr>
            </w:pPr>
            <w:r>
              <w:rPr>
                <w:color w:val="auto"/>
                <w:sz w:val="22"/>
                <w:szCs w:val="22"/>
                <w:highlight w:val="none"/>
              </w:rPr>
              <w:t>1.4.</w:t>
            </w:r>
            <w:r>
              <w:rPr>
                <w:rFonts w:hint="eastAsia"/>
                <w:color w:val="auto"/>
                <w:sz w:val="22"/>
                <w:szCs w:val="22"/>
                <w:highlight w:val="none"/>
              </w:rPr>
              <w:t>3</w:t>
            </w:r>
          </w:p>
        </w:tc>
        <w:tc>
          <w:tcPr>
            <w:tcW w:w="2337" w:type="dxa"/>
            <w:noWrap w:val="0"/>
            <w:vAlign w:val="center"/>
          </w:tcPr>
          <w:p w14:paraId="661E8B49">
            <w:pPr>
              <w:spacing w:before="73" w:line="288" w:lineRule="auto"/>
              <w:jc w:val="center"/>
              <w:rPr>
                <w:color w:val="auto"/>
                <w:sz w:val="22"/>
                <w:szCs w:val="22"/>
                <w:highlight w:val="none"/>
              </w:rPr>
            </w:pPr>
            <w:r>
              <w:rPr>
                <w:rFonts w:hint="eastAsia"/>
                <w:color w:val="auto"/>
                <w:sz w:val="22"/>
                <w:szCs w:val="22"/>
                <w:highlight w:val="none"/>
              </w:rPr>
              <w:t>采购人要求供应商具备的特定资格要求</w:t>
            </w:r>
          </w:p>
        </w:tc>
        <w:tc>
          <w:tcPr>
            <w:tcW w:w="6060" w:type="dxa"/>
            <w:noWrap w:val="0"/>
            <w:vAlign w:val="center"/>
          </w:tcPr>
          <w:p w14:paraId="2125E787">
            <w:pPr>
              <w:spacing w:before="73" w:line="288" w:lineRule="auto"/>
              <w:rPr>
                <w:color w:val="auto"/>
                <w:sz w:val="22"/>
                <w:szCs w:val="22"/>
                <w:highlight w:val="none"/>
              </w:rPr>
            </w:pPr>
            <w:r>
              <w:rPr>
                <w:rFonts w:hint="eastAsia"/>
                <w:color w:val="auto"/>
                <w:sz w:val="22"/>
                <w:szCs w:val="22"/>
                <w:highlight w:val="none"/>
              </w:rPr>
              <w:t>见竞争性磋商公告</w:t>
            </w:r>
          </w:p>
        </w:tc>
      </w:tr>
      <w:tr w14:paraId="71C65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trPr>
        <w:tc>
          <w:tcPr>
            <w:tcW w:w="1008" w:type="dxa"/>
            <w:vMerge w:val="continue"/>
            <w:noWrap w:val="0"/>
            <w:vAlign w:val="center"/>
          </w:tcPr>
          <w:p w14:paraId="6E6DC2D0">
            <w:pPr>
              <w:spacing w:before="73" w:line="288" w:lineRule="auto"/>
              <w:jc w:val="center"/>
              <w:rPr>
                <w:color w:val="auto"/>
                <w:sz w:val="22"/>
                <w:szCs w:val="22"/>
                <w:highlight w:val="none"/>
              </w:rPr>
            </w:pPr>
          </w:p>
        </w:tc>
        <w:tc>
          <w:tcPr>
            <w:tcW w:w="2337" w:type="dxa"/>
            <w:noWrap w:val="0"/>
            <w:vAlign w:val="center"/>
          </w:tcPr>
          <w:p w14:paraId="23165C41">
            <w:pPr>
              <w:spacing w:before="73" w:line="288" w:lineRule="auto"/>
              <w:jc w:val="center"/>
              <w:rPr>
                <w:color w:val="auto"/>
                <w:sz w:val="22"/>
                <w:szCs w:val="22"/>
                <w:highlight w:val="none"/>
              </w:rPr>
            </w:pPr>
            <w:r>
              <w:rPr>
                <w:rFonts w:hint="eastAsia" w:ascii="宋体" w:hAnsi="宋体" w:cs="宋体"/>
                <w:color w:val="auto"/>
                <w:sz w:val="22"/>
                <w:szCs w:val="22"/>
                <w:highlight w:val="none"/>
              </w:rPr>
              <w:t>是否接受联合体投标</w:t>
            </w:r>
          </w:p>
        </w:tc>
        <w:tc>
          <w:tcPr>
            <w:tcW w:w="6060" w:type="dxa"/>
            <w:noWrap w:val="0"/>
            <w:vAlign w:val="center"/>
          </w:tcPr>
          <w:p w14:paraId="58A15F25">
            <w:pPr>
              <w:spacing w:before="73" w:line="288" w:lineRule="auto"/>
              <w:rPr>
                <w:color w:val="auto"/>
                <w:sz w:val="22"/>
                <w:szCs w:val="22"/>
                <w:highlight w:val="none"/>
              </w:rPr>
            </w:pPr>
            <w:r>
              <w:rPr>
                <w:rFonts w:hint="eastAsia"/>
                <w:color w:val="auto"/>
                <w:sz w:val="22"/>
                <w:szCs w:val="22"/>
                <w:highlight w:val="none"/>
              </w:rPr>
              <w:t>见竞争性磋商公告</w:t>
            </w:r>
          </w:p>
        </w:tc>
      </w:tr>
      <w:tr w14:paraId="17C557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trPr>
        <w:tc>
          <w:tcPr>
            <w:tcW w:w="1008" w:type="dxa"/>
            <w:noWrap w:val="0"/>
            <w:vAlign w:val="center"/>
          </w:tcPr>
          <w:p w14:paraId="3D5C9AA8">
            <w:pPr>
              <w:spacing w:before="73" w:line="288" w:lineRule="auto"/>
              <w:jc w:val="center"/>
              <w:rPr>
                <w:color w:val="auto"/>
                <w:sz w:val="22"/>
                <w:szCs w:val="22"/>
                <w:highlight w:val="none"/>
              </w:rPr>
            </w:pPr>
            <w:r>
              <w:rPr>
                <w:rFonts w:hint="eastAsia"/>
                <w:color w:val="auto"/>
                <w:sz w:val="22"/>
                <w:szCs w:val="22"/>
                <w:highlight w:val="none"/>
              </w:rPr>
              <w:t>1.9.1</w:t>
            </w:r>
          </w:p>
        </w:tc>
        <w:tc>
          <w:tcPr>
            <w:tcW w:w="2337" w:type="dxa"/>
            <w:noWrap w:val="0"/>
            <w:vAlign w:val="center"/>
          </w:tcPr>
          <w:p w14:paraId="15E9D1FD">
            <w:pPr>
              <w:spacing w:before="73" w:line="288" w:lineRule="auto"/>
              <w:jc w:val="center"/>
              <w:rPr>
                <w:rFonts w:ascii="宋体" w:hAnsi="宋体" w:cs="宋体"/>
                <w:color w:val="auto"/>
                <w:sz w:val="22"/>
                <w:szCs w:val="22"/>
                <w:highlight w:val="none"/>
              </w:rPr>
            </w:pPr>
            <w:r>
              <w:rPr>
                <w:rFonts w:hint="eastAsia" w:ascii="宋体" w:hAnsi="宋体" w:cs="宋体"/>
                <w:color w:val="auto"/>
                <w:sz w:val="22"/>
                <w:szCs w:val="22"/>
                <w:highlight w:val="none"/>
              </w:rPr>
              <w:t>踏勘现场</w:t>
            </w:r>
          </w:p>
        </w:tc>
        <w:tc>
          <w:tcPr>
            <w:tcW w:w="6060" w:type="dxa"/>
            <w:noWrap w:val="0"/>
            <w:vAlign w:val="center"/>
          </w:tcPr>
          <w:p w14:paraId="6752D197">
            <w:pPr>
              <w:spacing w:before="73" w:line="288" w:lineRule="auto"/>
              <w:jc w:val="left"/>
              <w:rPr>
                <w:rFonts w:ascii="宋体" w:hAnsi="宋体" w:cs="宋体"/>
                <w:color w:val="auto"/>
                <w:sz w:val="22"/>
                <w:szCs w:val="22"/>
                <w:highlight w:val="none"/>
              </w:rPr>
            </w:pPr>
            <w:r>
              <w:rPr>
                <w:rFonts w:hint="eastAsia"/>
                <w:color w:val="auto"/>
                <w:sz w:val="22"/>
                <w:szCs w:val="22"/>
                <w:highlight w:val="none"/>
              </w:rPr>
              <w:t>不组织，供应商自行踏勘现场</w:t>
            </w:r>
          </w:p>
        </w:tc>
      </w:tr>
      <w:tr w14:paraId="76572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trPr>
        <w:tc>
          <w:tcPr>
            <w:tcW w:w="1008" w:type="dxa"/>
            <w:noWrap w:val="0"/>
            <w:vAlign w:val="center"/>
          </w:tcPr>
          <w:p w14:paraId="55CC1989">
            <w:pPr>
              <w:spacing w:before="73" w:line="288" w:lineRule="auto"/>
              <w:jc w:val="center"/>
              <w:rPr>
                <w:color w:val="auto"/>
                <w:sz w:val="22"/>
                <w:szCs w:val="22"/>
                <w:highlight w:val="none"/>
              </w:rPr>
            </w:pPr>
            <w:r>
              <w:rPr>
                <w:rFonts w:hint="eastAsia"/>
                <w:color w:val="auto"/>
                <w:sz w:val="22"/>
                <w:szCs w:val="22"/>
                <w:highlight w:val="none"/>
              </w:rPr>
              <w:t>1.10</w:t>
            </w:r>
          </w:p>
        </w:tc>
        <w:tc>
          <w:tcPr>
            <w:tcW w:w="2337" w:type="dxa"/>
            <w:noWrap w:val="0"/>
            <w:vAlign w:val="center"/>
          </w:tcPr>
          <w:p w14:paraId="3301827C">
            <w:pPr>
              <w:spacing w:before="73" w:line="288" w:lineRule="auto"/>
              <w:jc w:val="center"/>
              <w:rPr>
                <w:color w:val="auto"/>
                <w:sz w:val="22"/>
                <w:szCs w:val="22"/>
                <w:highlight w:val="none"/>
              </w:rPr>
            </w:pPr>
            <w:r>
              <w:rPr>
                <w:rFonts w:hint="eastAsia"/>
                <w:color w:val="auto"/>
                <w:sz w:val="22"/>
                <w:szCs w:val="22"/>
                <w:highlight w:val="none"/>
              </w:rPr>
              <w:t>分包</w:t>
            </w:r>
          </w:p>
        </w:tc>
        <w:tc>
          <w:tcPr>
            <w:tcW w:w="6060" w:type="dxa"/>
            <w:noWrap w:val="0"/>
            <w:vAlign w:val="center"/>
          </w:tcPr>
          <w:p w14:paraId="24DFDA1E">
            <w:pPr>
              <w:spacing w:before="73" w:line="288" w:lineRule="auto"/>
              <w:rPr>
                <w:color w:val="auto"/>
                <w:sz w:val="22"/>
                <w:szCs w:val="22"/>
                <w:highlight w:val="none"/>
              </w:rPr>
            </w:pPr>
            <w:r>
              <w:rPr>
                <w:rFonts w:hint="eastAsia"/>
                <w:color w:val="auto"/>
                <w:sz w:val="22"/>
                <w:szCs w:val="22"/>
                <w:highlight w:val="none"/>
              </w:rPr>
              <w:t>不允许</w:t>
            </w:r>
            <w:bookmarkStart w:id="22" w:name="FEa2837fca29db41d2a5b6d9945d0066c1"/>
            <w:bookmarkEnd w:id="22"/>
            <w:bookmarkStart w:id="23" w:name="FBa2837fca29db41d2a5b6d9945d0066c1"/>
            <w:bookmarkEnd w:id="23"/>
          </w:p>
        </w:tc>
      </w:tr>
      <w:tr w14:paraId="66C66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noWrap w:val="0"/>
            <w:vAlign w:val="center"/>
          </w:tcPr>
          <w:p w14:paraId="6F69A86C">
            <w:pPr>
              <w:spacing w:before="73" w:line="288" w:lineRule="auto"/>
              <w:jc w:val="center"/>
              <w:rPr>
                <w:color w:val="auto"/>
                <w:sz w:val="22"/>
                <w:szCs w:val="22"/>
                <w:highlight w:val="none"/>
              </w:rPr>
            </w:pPr>
            <w:r>
              <w:rPr>
                <w:rFonts w:hint="eastAsia"/>
                <w:color w:val="auto"/>
                <w:sz w:val="22"/>
                <w:szCs w:val="22"/>
                <w:highlight w:val="none"/>
              </w:rPr>
              <w:t>1.11</w:t>
            </w:r>
          </w:p>
        </w:tc>
        <w:tc>
          <w:tcPr>
            <w:tcW w:w="2337" w:type="dxa"/>
            <w:noWrap w:val="0"/>
            <w:vAlign w:val="center"/>
          </w:tcPr>
          <w:p w14:paraId="0F39C0F4">
            <w:pPr>
              <w:spacing w:before="73" w:line="288" w:lineRule="auto"/>
              <w:jc w:val="center"/>
              <w:rPr>
                <w:color w:val="auto"/>
                <w:sz w:val="22"/>
                <w:szCs w:val="22"/>
                <w:highlight w:val="none"/>
              </w:rPr>
            </w:pPr>
            <w:r>
              <w:rPr>
                <w:rFonts w:hint="eastAsia"/>
                <w:color w:val="auto"/>
                <w:sz w:val="22"/>
                <w:szCs w:val="22"/>
                <w:highlight w:val="none"/>
              </w:rPr>
              <w:t>偏离</w:t>
            </w:r>
          </w:p>
        </w:tc>
        <w:tc>
          <w:tcPr>
            <w:tcW w:w="6060" w:type="dxa"/>
            <w:noWrap w:val="0"/>
            <w:vAlign w:val="center"/>
          </w:tcPr>
          <w:p w14:paraId="50CA3B2F">
            <w:pPr>
              <w:spacing w:before="73" w:line="288" w:lineRule="auto"/>
              <w:jc w:val="left"/>
              <w:rPr>
                <w:color w:val="auto"/>
                <w:sz w:val="22"/>
                <w:szCs w:val="22"/>
                <w:highlight w:val="none"/>
              </w:rPr>
            </w:pPr>
            <w:r>
              <w:rPr>
                <w:rFonts w:hint="eastAsia"/>
                <w:color w:val="auto"/>
                <w:sz w:val="22"/>
                <w:szCs w:val="22"/>
                <w:highlight w:val="none"/>
              </w:rPr>
              <w:t>不允许负偏离</w:t>
            </w:r>
          </w:p>
        </w:tc>
      </w:tr>
      <w:tr w14:paraId="665C9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noWrap w:val="0"/>
            <w:vAlign w:val="center"/>
          </w:tcPr>
          <w:p w14:paraId="1C00EF39">
            <w:pPr>
              <w:spacing w:before="73" w:line="288" w:lineRule="auto"/>
              <w:jc w:val="center"/>
              <w:rPr>
                <w:color w:val="auto"/>
                <w:sz w:val="22"/>
                <w:szCs w:val="22"/>
                <w:highlight w:val="none"/>
              </w:rPr>
            </w:pPr>
            <w:r>
              <w:rPr>
                <w:color w:val="auto"/>
                <w:sz w:val="22"/>
                <w:szCs w:val="22"/>
                <w:highlight w:val="none"/>
              </w:rPr>
              <w:t>2.1</w:t>
            </w:r>
          </w:p>
        </w:tc>
        <w:tc>
          <w:tcPr>
            <w:tcW w:w="2337" w:type="dxa"/>
            <w:noWrap w:val="0"/>
            <w:vAlign w:val="center"/>
          </w:tcPr>
          <w:p w14:paraId="23D9C1D6">
            <w:pPr>
              <w:spacing w:before="73" w:line="288" w:lineRule="auto"/>
              <w:jc w:val="center"/>
              <w:rPr>
                <w:color w:val="auto"/>
                <w:sz w:val="22"/>
                <w:szCs w:val="22"/>
                <w:highlight w:val="none"/>
              </w:rPr>
            </w:pPr>
            <w:r>
              <w:rPr>
                <w:color w:val="auto"/>
                <w:sz w:val="22"/>
                <w:szCs w:val="22"/>
                <w:highlight w:val="none"/>
              </w:rPr>
              <w:t>构成竞争性磋商文件的其他材料</w:t>
            </w:r>
          </w:p>
        </w:tc>
        <w:tc>
          <w:tcPr>
            <w:tcW w:w="6060" w:type="dxa"/>
            <w:noWrap w:val="0"/>
            <w:vAlign w:val="center"/>
          </w:tcPr>
          <w:p w14:paraId="51027B16">
            <w:pPr>
              <w:spacing w:before="73" w:line="288" w:lineRule="auto"/>
              <w:rPr>
                <w:color w:val="auto"/>
                <w:sz w:val="22"/>
                <w:szCs w:val="22"/>
                <w:highlight w:val="none"/>
              </w:rPr>
            </w:pPr>
            <w:bookmarkStart w:id="24" w:name="EB35ced2e8f8364f63a510bf246ff979f0"/>
            <w:bookmarkEnd w:id="24"/>
            <w:r>
              <w:rPr>
                <w:rFonts w:hint="eastAsia"/>
                <w:color w:val="auto"/>
                <w:sz w:val="22"/>
                <w:szCs w:val="22"/>
                <w:highlight w:val="none"/>
              </w:rPr>
              <w:t>工程量清单，图纸，</w:t>
            </w:r>
            <w:r>
              <w:rPr>
                <w:color w:val="auto"/>
                <w:sz w:val="22"/>
                <w:szCs w:val="22"/>
                <w:highlight w:val="none"/>
              </w:rPr>
              <w:t>竞争性磋商文件</w:t>
            </w:r>
            <w:r>
              <w:rPr>
                <w:rFonts w:hint="eastAsia"/>
                <w:color w:val="auto"/>
                <w:sz w:val="22"/>
                <w:szCs w:val="22"/>
                <w:highlight w:val="none"/>
              </w:rPr>
              <w:t>的澄清、修改、补充通知等内容。（如有）</w:t>
            </w:r>
          </w:p>
        </w:tc>
      </w:tr>
      <w:tr w14:paraId="52953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noWrap w:val="0"/>
            <w:vAlign w:val="center"/>
          </w:tcPr>
          <w:p w14:paraId="11492C41">
            <w:pPr>
              <w:spacing w:before="73" w:line="288" w:lineRule="auto"/>
              <w:jc w:val="center"/>
              <w:rPr>
                <w:color w:val="auto"/>
                <w:sz w:val="22"/>
                <w:szCs w:val="22"/>
                <w:highlight w:val="none"/>
              </w:rPr>
            </w:pPr>
            <w:r>
              <w:rPr>
                <w:color w:val="auto"/>
                <w:sz w:val="22"/>
                <w:szCs w:val="22"/>
                <w:highlight w:val="none"/>
              </w:rPr>
              <w:t>2.2.1</w:t>
            </w:r>
          </w:p>
        </w:tc>
        <w:tc>
          <w:tcPr>
            <w:tcW w:w="2337" w:type="dxa"/>
            <w:noWrap w:val="0"/>
            <w:vAlign w:val="center"/>
          </w:tcPr>
          <w:p w14:paraId="1F9F15F9">
            <w:pPr>
              <w:spacing w:before="73" w:line="288" w:lineRule="auto"/>
              <w:jc w:val="center"/>
              <w:rPr>
                <w:color w:val="auto"/>
                <w:sz w:val="22"/>
                <w:szCs w:val="22"/>
                <w:highlight w:val="none"/>
              </w:rPr>
            </w:pPr>
            <w:r>
              <w:rPr>
                <w:rFonts w:hint="eastAsia"/>
                <w:color w:val="auto"/>
                <w:sz w:val="22"/>
                <w:szCs w:val="22"/>
                <w:highlight w:val="none"/>
              </w:rPr>
              <w:t>供应商</w:t>
            </w:r>
            <w:r>
              <w:rPr>
                <w:color w:val="auto"/>
                <w:sz w:val="22"/>
                <w:szCs w:val="22"/>
                <w:highlight w:val="none"/>
              </w:rPr>
              <w:t>要求澄清竞争性磋商文件的截止时间</w:t>
            </w:r>
          </w:p>
        </w:tc>
        <w:tc>
          <w:tcPr>
            <w:tcW w:w="6060" w:type="dxa"/>
            <w:noWrap w:val="0"/>
            <w:vAlign w:val="center"/>
          </w:tcPr>
          <w:p w14:paraId="3444E97C">
            <w:pPr>
              <w:numPr>
                <w:ilvl w:val="0"/>
                <w:numId w:val="0"/>
              </w:numPr>
              <w:spacing w:before="73" w:line="288" w:lineRule="auto"/>
              <w:rPr>
                <w:color w:val="auto"/>
                <w:sz w:val="22"/>
                <w:szCs w:val="22"/>
                <w:highlight w:val="none"/>
              </w:rPr>
            </w:pPr>
            <w:r>
              <w:rPr>
                <w:rFonts w:hint="eastAsia" w:ascii="仿宋" w:hAnsi="仿宋" w:eastAsia="仿宋" w:cs="仿宋"/>
                <w:color w:val="0000FF"/>
                <w:sz w:val="28"/>
                <w:szCs w:val="28"/>
                <w:highlight w:val="none"/>
                <w:lang w:val="en-US" w:eastAsia="zh-CN"/>
              </w:rPr>
              <w:t>2026-5</w:t>
            </w:r>
            <w:r>
              <w:rPr>
                <w:rFonts w:hint="eastAsia" w:ascii="仿宋" w:hAnsi="仿宋" w:eastAsia="仿宋" w:cs="仿宋"/>
                <w:color w:val="0000FF"/>
                <w:sz w:val="28"/>
                <w:szCs w:val="28"/>
                <w:highlight w:val="none"/>
              </w:rPr>
              <w:t>-</w:t>
            </w:r>
            <w:r>
              <w:rPr>
                <w:rFonts w:hint="eastAsia" w:ascii="仿宋" w:hAnsi="仿宋" w:eastAsia="仿宋" w:cs="仿宋"/>
                <w:color w:val="0000FF"/>
                <w:sz w:val="28"/>
                <w:szCs w:val="28"/>
                <w:highlight w:val="none"/>
                <w:lang w:val="en-US" w:eastAsia="zh-CN"/>
              </w:rPr>
              <w:t>9-</w:t>
            </w:r>
            <w:r>
              <w:rPr>
                <w:rFonts w:hint="eastAsia" w:ascii="仿宋" w:hAnsi="仿宋" w:eastAsia="仿宋" w:cs="仿宋"/>
                <w:color w:val="0000FF"/>
                <w:sz w:val="28"/>
                <w:szCs w:val="28"/>
                <w:highlight w:val="none"/>
              </w:rPr>
              <w:t>1</w:t>
            </w:r>
            <w:r>
              <w:rPr>
                <w:rFonts w:hint="eastAsia" w:ascii="仿宋" w:hAnsi="仿宋" w:eastAsia="仿宋" w:cs="仿宋"/>
                <w:color w:val="0000FF"/>
                <w:sz w:val="28"/>
                <w:szCs w:val="28"/>
                <w:highlight w:val="none"/>
                <w:lang w:val="en-US" w:eastAsia="zh-CN"/>
              </w:rPr>
              <w:t>7</w:t>
            </w:r>
            <w:r>
              <w:rPr>
                <w:rFonts w:hint="eastAsia" w:ascii="仿宋" w:hAnsi="仿宋" w:eastAsia="仿宋" w:cs="仿宋"/>
                <w:color w:val="0000FF"/>
                <w:sz w:val="28"/>
                <w:szCs w:val="28"/>
                <w:highlight w:val="none"/>
              </w:rPr>
              <w:t>时</w:t>
            </w:r>
            <w:r>
              <w:rPr>
                <w:rFonts w:hint="eastAsia" w:ascii="仿宋" w:hAnsi="仿宋" w:eastAsia="仿宋" w:cs="仿宋"/>
                <w:color w:val="0000FF"/>
                <w:sz w:val="28"/>
                <w:szCs w:val="28"/>
                <w:highlight w:val="none"/>
                <w:lang w:val="en-US" w:eastAsia="zh-CN"/>
              </w:rPr>
              <w:t>30</w:t>
            </w:r>
            <w:r>
              <w:rPr>
                <w:rFonts w:hint="eastAsia" w:ascii="仿宋" w:hAnsi="仿宋" w:eastAsia="仿宋" w:cs="仿宋"/>
                <w:color w:val="0000FF"/>
                <w:sz w:val="28"/>
                <w:szCs w:val="28"/>
                <w:highlight w:val="none"/>
              </w:rPr>
              <w:t>分</w:t>
            </w:r>
          </w:p>
        </w:tc>
      </w:tr>
      <w:tr w14:paraId="29DEF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noWrap w:val="0"/>
            <w:vAlign w:val="center"/>
          </w:tcPr>
          <w:p w14:paraId="75FCC175">
            <w:pPr>
              <w:spacing w:line="360" w:lineRule="exact"/>
              <w:jc w:val="center"/>
              <w:rPr>
                <w:color w:val="auto"/>
                <w:sz w:val="22"/>
                <w:szCs w:val="22"/>
                <w:highlight w:val="none"/>
              </w:rPr>
            </w:pPr>
            <w:r>
              <w:rPr>
                <w:rFonts w:ascii="宋体" w:hAnsi="宋体"/>
                <w:color w:val="auto"/>
                <w:szCs w:val="21"/>
                <w:highlight w:val="none"/>
              </w:rPr>
              <w:t>2.2.</w:t>
            </w:r>
            <w:r>
              <w:rPr>
                <w:rFonts w:hint="eastAsia" w:ascii="宋体" w:hAnsi="宋体"/>
                <w:color w:val="auto"/>
                <w:szCs w:val="21"/>
                <w:highlight w:val="none"/>
              </w:rPr>
              <w:t>2</w:t>
            </w:r>
          </w:p>
        </w:tc>
        <w:tc>
          <w:tcPr>
            <w:tcW w:w="2337" w:type="dxa"/>
            <w:noWrap w:val="0"/>
            <w:vAlign w:val="center"/>
          </w:tcPr>
          <w:p w14:paraId="5F82422B">
            <w:pPr>
              <w:spacing w:line="360" w:lineRule="exact"/>
              <w:jc w:val="center"/>
              <w:rPr>
                <w:rFonts w:hint="eastAsia"/>
                <w:color w:val="0000FF"/>
                <w:sz w:val="22"/>
                <w:szCs w:val="22"/>
                <w:highlight w:val="none"/>
              </w:rPr>
            </w:pPr>
            <w:r>
              <w:rPr>
                <w:rFonts w:hint="eastAsia" w:ascii="宋体" w:hAnsi="宋体"/>
                <w:color w:val="0000FF"/>
                <w:szCs w:val="21"/>
                <w:highlight w:val="none"/>
              </w:rPr>
              <w:t>提交响应性文件</w:t>
            </w:r>
            <w:r>
              <w:rPr>
                <w:rFonts w:ascii="宋体" w:hAnsi="宋体"/>
                <w:color w:val="0000FF"/>
                <w:szCs w:val="21"/>
                <w:highlight w:val="none"/>
              </w:rPr>
              <w:t>截止时间</w:t>
            </w:r>
          </w:p>
        </w:tc>
        <w:tc>
          <w:tcPr>
            <w:tcW w:w="6060" w:type="dxa"/>
            <w:noWrap w:val="0"/>
            <w:vAlign w:val="center"/>
          </w:tcPr>
          <w:p w14:paraId="056B9C58">
            <w:pPr>
              <w:numPr>
                <w:ilvl w:val="0"/>
                <w:numId w:val="0"/>
              </w:numPr>
              <w:spacing w:line="360" w:lineRule="exact"/>
              <w:ind w:leftChars="0"/>
              <w:rPr>
                <w:rFonts w:hint="default"/>
                <w:color w:val="0000FF"/>
                <w:sz w:val="22"/>
                <w:szCs w:val="22"/>
                <w:highlight w:val="none"/>
                <w:lang w:val="en-US"/>
              </w:rPr>
            </w:pPr>
            <w:r>
              <w:rPr>
                <w:rFonts w:hint="eastAsia" w:ascii="仿宋" w:hAnsi="仿宋" w:eastAsia="仿宋" w:cs="仿宋"/>
                <w:color w:val="0000FF"/>
                <w:sz w:val="28"/>
                <w:szCs w:val="28"/>
                <w:highlight w:val="none"/>
                <w:lang w:val="en-US" w:eastAsia="zh-CN"/>
              </w:rPr>
              <w:t>2026-5</w:t>
            </w:r>
            <w:r>
              <w:rPr>
                <w:rFonts w:hint="eastAsia" w:ascii="仿宋" w:hAnsi="仿宋" w:eastAsia="仿宋" w:cs="仿宋"/>
                <w:color w:val="0000FF"/>
                <w:sz w:val="28"/>
                <w:szCs w:val="28"/>
                <w:highlight w:val="none"/>
              </w:rPr>
              <w:t>-</w:t>
            </w:r>
            <w:r>
              <w:rPr>
                <w:rFonts w:hint="eastAsia" w:ascii="仿宋" w:hAnsi="仿宋" w:eastAsia="仿宋" w:cs="仿宋"/>
                <w:color w:val="0000FF"/>
                <w:sz w:val="28"/>
                <w:szCs w:val="28"/>
                <w:highlight w:val="none"/>
                <w:lang w:val="en-US" w:eastAsia="zh-CN"/>
              </w:rPr>
              <w:t>11-14：30</w:t>
            </w:r>
          </w:p>
        </w:tc>
      </w:tr>
      <w:tr w14:paraId="5C8200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2" w:hRule="atLeast"/>
        </w:trPr>
        <w:tc>
          <w:tcPr>
            <w:tcW w:w="1008" w:type="dxa"/>
            <w:noWrap w:val="0"/>
            <w:vAlign w:val="center"/>
          </w:tcPr>
          <w:p w14:paraId="3CD2BB7D">
            <w:pPr>
              <w:spacing w:before="73" w:line="288" w:lineRule="auto"/>
              <w:jc w:val="center"/>
              <w:rPr>
                <w:color w:val="auto"/>
                <w:sz w:val="22"/>
                <w:szCs w:val="22"/>
                <w:highlight w:val="none"/>
              </w:rPr>
            </w:pPr>
            <w:r>
              <w:rPr>
                <w:rFonts w:hint="eastAsia"/>
                <w:color w:val="auto"/>
                <w:sz w:val="22"/>
                <w:szCs w:val="22"/>
                <w:highlight w:val="none"/>
              </w:rPr>
              <w:t>2.4.1</w:t>
            </w:r>
          </w:p>
        </w:tc>
        <w:tc>
          <w:tcPr>
            <w:tcW w:w="2337" w:type="dxa"/>
            <w:noWrap w:val="0"/>
            <w:vAlign w:val="center"/>
          </w:tcPr>
          <w:p w14:paraId="577AB18B">
            <w:pPr>
              <w:spacing w:before="73" w:line="288" w:lineRule="auto"/>
              <w:jc w:val="center"/>
              <w:rPr>
                <w:color w:val="0000FF"/>
                <w:sz w:val="22"/>
                <w:szCs w:val="22"/>
                <w:highlight w:val="none"/>
              </w:rPr>
            </w:pPr>
            <w:r>
              <w:rPr>
                <w:rFonts w:hint="eastAsia"/>
                <w:color w:val="0000FF"/>
                <w:sz w:val="22"/>
                <w:szCs w:val="22"/>
                <w:highlight w:val="none"/>
              </w:rPr>
              <w:t>最高限价</w:t>
            </w:r>
          </w:p>
        </w:tc>
        <w:tc>
          <w:tcPr>
            <w:tcW w:w="6060" w:type="dxa"/>
            <w:noWrap w:val="0"/>
            <w:vAlign w:val="center"/>
          </w:tcPr>
          <w:p w14:paraId="6BAAE8B1">
            <w:pPr>
              <w:spacing w:before="73" w:line="288" w:lineRule="auto"/>
              <w:jc w:val="left"/>
              <w:rPr>
                <w:color w:val="0000FF"/>
                <w:sz w:val="22"/>
                <w:szCs w:val="22"/>
                <w:highlight w:val="none"/>
              </w:rPr>
            </w:pPr>
            <w:r>
              <w:rPr>
                <w:rFonts w:hint="eastAsia"/>
                <w:b/>
                <w:bCs/>
                <w:color w:val="0000FF"/>
                <w:sz w:val="22"/>
                <w:szCs w:val="22"/>
                <w:highlight w:val="none"/>
                <w:lang w:val="en-US" w:eastAsia="zh-CN"/>
              </w:rPr>
              <w:t>279.3039</w:t>
            </w:r>
            <w:r>
              <w:rPr>
                <w:b/>
                <w:bCs/>
                <w:color w:val="0000FF"/>
                <w:sz w:val="22"/>
                <w:szCs w:val="22"/>
                <w:highlight w:val="none"/>
              </w:rPr>
              <w:t>万</w:t>
            </w:r>
            <w:r>
              <w:rPr>
                <w:rFonts w:hint="eastAsia"/>
                <w:b/>
                <w:bCs/>
                <w:color w:val="0000FF"/>
                <w:sz w:val="22"/>
                <w:szCs w:val="22"/>
                <w:highlight w:val="none"/>
              </w:rPr>
              <w:t>元（响应报价高于最高限价的为无效报价）</w:t>
            </w:r>
          </w:p>
        </w:tc>
      </w:tr>
      <w:tr w14:paraId="6EB21F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noWrap w:val="0"/>
            <w:vAlign w:val="center"/>
          </w:tcPr>
          <w:p w14:paraId="0F77633E">
            <w:pPr>
              <w:spacing w:before="73" w:line="288" w:lineRule="auto"/>
              <w:jc w:val="center"/>
              <w:rPr>
                <w:color w:val="auto"/>
                <w:sz w:val="22"/>
                <w:szCs w:val="22"/>
                <w:highlight w:val="none"/>
              </w:rPr>
            </w:pPr>
            <w:r>
              <w:rPr>
                <w:rFonts w:hint="eastAsia"/>
                <w:color w:val="auto"/>
                <w:sz w:val="22"/>
                <w:szCs w:val="22"/>
                <w:highlight w:val="none"/>
              </w:rPr>
              <w:t>3.1</w:t>
            </w:r>
          </w:p>
        </w:tc>
        <w:tc>
          <w:tcPr>
            <w:tcW w:w="2337" w:type="dxa"/>
            <w:noWrap w:val="0"/>
            <w:vAlign w:val="center"/>
          </w:tcPr>
          <w:p w14:paraId="234D0FA6">
            <w:pPr>
              <w:spacing w:before="73" w:line="288" w:lineRule="auto"/>
              <w:jc w:val="center"/>
              <w:rPr>
                <w:rFonts w:ascii="宋体" w:hAnsi="宋体" w:cs="宋体"/>
                <w:color w:val="auto"/>
                <w:sz w:val="22"/>
                <w:szCs w:val="22"/>
                <w:highlight w:val="none"/>
              </w:rPr>
            </w:pPr>
            <w:r>
              <w:rPr>
                <w:rFonts w:hint="eastAsia" w:ascii="宋体" w:hAnsi="宋体" w:cs="宋体"/>
                <w:color w:val="auto"/>
                <w:sz w:val="22"/>
                <w:szCs w:val="22"/>
                <w:highlight w:val="none"/>
              </w:rPr>
              <w:t>响应文件的组成</w:t>
            </w:r>
          </w:p>
        </w:tc>
        <w:tc>
          <w:tcPr>
            <w:tcW w:w="6060" w:type="dxa"/>
            <w:noWrap w:val="0"/>
            <w:vAlign w:val="center"/>
          </w:tcPr>
          <w:p w14:paraId="2EAA6DBC">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（1）磋商报价表</w:t>
            </w:r>
          </w:p>
          <w:p w14:paraId="78C9359A">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（2）响应函及附录</w:t>
            </w:r>
          </w:p>
          <w:p w14:paraId="07CF7D3E">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（3）资格及资信</w:t>
            </w:r>
            <w:bookmarkStart w:id="534" w:name="_GoBack"/>
            <w:bookmarkEnd w:id="534"/>
            <w:r>
              <w:rPr>
                <w:rFonts w:hint="eastAsia" w:ascii="宋体" w:hAnsi="宋体" w:cs="宋体"/>
                <w:color w:val="auto"/>
                <w:sz w:val="22"/>
                <w:szCs w:val="22"/>
                <w:highlight w:val="none"/>
              </w:rPr>
              <w:t>证明文件</w:t>
            </w:r>
          </w:p>
          <w:p w14:paraId="746CA296">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（4）技术标准和要求响应承诺</w:t>
            </w:r>
          </w:p>
          <w:p w14:paraId="10B1009E">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（5）企业综合实力证明材料</w:t>
            </w:r>
          </w:p>
          <w:p w14:paraId="3AD2BF85">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（6）供应商认为应列入响应文件的其他材料</w:t>
            </w:r>
          </w:p>
        </w:tc>
      </w:tr>
      <w:tr w14:paraId="20B6A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8" w:hRule="atLeast"/>
        </w:trPr>
        <w:tc>
          <w:tcPr>
            <w:tcW w:w="1008" w:type="dxa"/>
            <w:noWrap w:val="0"/>
            <w:vAlign w:val="center"/>
          </w:tcPr>
          <w:p w14:paraId="472AFAAC">
            <w:pPr>
              <w:spacing w:before="73" w:line="288" w:lineRule="auto"/>
              <w:jc w:val="center"/>
              <w:rPr>
                <w:color w:val="auto"/>
                <w:sz w:val="22"/>
                <w:szCs w:val="22"/>
                <w:highlight w:val="none"/>
              </w:rPr>
            </w:pPr>
            <w:r>
              <w:rPr>
                <w:rFonts w:hint="eastAsia"/>
                <w:color w:val="auto"/>
                <w:sz w:val="22"/>
                <w:szCs w:val="22"/>
                <w:highlight w:val="none"/>
              </w:rPr>
              <w:t>3.2.6</w:t>
            </w:r>
          </w:p>
        </w:tc>
        <w:tc>
          <w:tcPr>
            <w:tcW w:w="2337" w:type="dxa"/>
            <w:noWrap w:val="0"/>
            <w:vAlign w:val="center"/>
          </w:tcPr>
          <w:p w14:paraId="48EC052D">
            <w:pPr>
              <w:spacing w:before="73" w:line="288" w:lineRule="auto"/>
              <w:jc w:val="center"/>
              <w:rPr>
                <w:color w:val="auto"/>
                <w:sz w:val="22"/>
                <w:szCs w:val="22"/>
                <w:highlight w:val="none"/>
              </w:rPr>
            </w:pPr>
            <w:r>
              <w:rPr>
                <w:rFonts w:hint="eastAsia" w:ascii="宋体" w:hAnsi="宋体" w:cs="宋体"/>
                <w:color w:val="auto"/>
                <w:sz w:val="22"/>
                <w:szCs w:val="22"/>
                <w:highlight w:val="none"/>
              </w:rPr>
              <w:t>合同价格形式</w:t>
            </w:r>
          </w:p>
        </w:tc>
        <w:tc>
          <w:tcPr>
            <w:tcW w:w="6060" w:type="dxa"/>
            <w:noWrap w:val="0"/>
            <w:vAlign w:val="center"/>
          </w:tcPr>
          <w:p w14:paraId="79584C29">
            <w:pPr>
              <w:spacing w:before="73" w:line="288" w:lineRule="auto"/>
              <w:rPr>
                <w:rFonts w:ascii="宋体" w:hAnsi="宋体" w:cs="宋体"/>
                <w:color w:val="auto"/>
                <w:sz w:val="22"/>
                <w:szCs w:val="22"/>
                <w:highlight w:val="none"/>
              </w:rPr>
            </w:pPr>
            <w:r>
              <w:rPr>
                <w:rFonts w:ascii="Wingdings" w:hAnsi="Wingdings" w:eastAsia="Wingdings" w:cs="Wingdings"/>
                <w:bCs/>
                <w:color w:val="auto"/>
                <w:sz w:val="22"/>
                <w:szCs w:val="22"/>
                <w:highlight w:val="none"/>
              </w:rPr>
              <w:t></w:t>
            </w:r>
            <w:r>
              <w:rPr>
                <w:rFonts w:hint="eastAsia" w:ascii="宋体" w:hAnsi="宋体" w:cs="宋体"/>
                <w:color w:val="auto"/>
                <w:sz w:val="22"/>
                <w:szCs w:val="22"/>
                <w:highlight w:val="none"/>
              </w:rPr>
              <w:t>单价合同</w:t>
            </w:r>
          </w:p>
          <w:p w14:paraId="3B5CC9A3">
            <w:pPr>
              <w:spacing w:before="73" w:line="288" w:lineRule="auto"/>
              <w:rPr>
                <w:color w:val="auto"/>
                <w:sz w:val="22"/>
                <w:szCs w:val="22"/>
                <w:highlight w:val="none"/>
              </w:rPr>
            </w:pPr>
            <w:r>
              <w:rPr>
                <w:rFonts w:hint="eastAsia" w:ascii="宋体" w:hAnsi="宋体" w:cs="宋体"/>
                <w:color w:val="auto"/>
                <w:sz w:val="22"/>
                <w:szCs w:val="22"/>
                <w:highlight w:val="none"/>
              </w:rPr>
              <w:t>□总价合同</w:t>
            </w:r>
          </w:p>
        </w:tc>
      </w:tr>
      <w:tr w14:paraId="2D539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rPr>
        <w:tc>
          <w:tcPr>
            <w:tcW w:w="1008" w:type="dxa"/>
            <w:noWrap w:val="0"/>
            <w:vAlign w:val="center"/>
          </w:tcPr>
          <w:p w14:paraId="7417396A">
            <w:pPr>
              <w:spacing w:before="73" w:line="288" w:lineRule="auto"/>
              <w:jc w:val="center"/>
              <w:rPr>
                <w:color w:val="auto"/>
                <w:sz w:val="22"/>
                <w:szCs w:val="22"/>
                <w:highlight w:val="none"/>
              </w:rPr>
            </w:pPr>
            <w:r>
              <w:rPr>
                <w:rFonts w:hint="eastAsia"/>
                <w:color w:val="auto"/>
                <w:sz w:val="22"/>
                <w:szCs w:val="22"/>
                <w:highlight w:val="none"/>
              </w:rPr>
              <w:t>3.2.7</w:t>
            </w:r>
          </w:p>
        </w:tc>
        <w:tc>
          <w:tcPr>
            <w:tcW w:w="2337" w:type="dxa"/>
            <w:noWrap w:val="0"/>
            <w:vAlign w:val="center"/>
          </w:tcPr>
          <w:p w14:paraId="47BD51BD">
            <w:pPr>
              <w:spacing w:before="73" w:line="288" w:lineRule="auto"/>
              <w:jc w:val="center"/>
              <w:rPr>
                <w:color w:val="auto"/>
                <w:sz w:val="22"/>
                <w:szCs w:val="22"/>
                <w:highlight w:val="none"/>
              </w:rPr>
            </w:pPr>
            <w:r>
              <w:rPr>
                <w:rFonts w:hint="eastAsia" w:ascii="宋体" w:hAnsi="宋体" w:cs="宋体"/>
                <w:color w:val="auto"/>
                <w:sz w:val="22"/>
                <w:szCs w:val="22"/>
                <w:highlight w:val="none"/>
              </w:rPr>
              <w:t>报价的其他要求</w:t>
            </w:r>
          </w:p>
        </w:tc>
        <w:tc>
          <w:tcPr>
            <w:tcW w:w="6060" w:type="dxa"/>
            <w:noWrap w:val="0"/>
            <w:vAlign w:val="center"/>
          </w:tcPr>
          <w:p w14:paraId="24F7DF3B">
            <w:pPr>
              <w:spacing w:before="73" w:line="288" w:lineRule="auto"/>
              <w:ind w:firstLine="440"/>
              <w:rPr>
                <w:bCs/>
                <w:color w:val="auto"/>
                <w:sz w:val="22"/>
                <w:szCs w:val="22"/>
                <w:highlight w:val="none"/>
              </w:rPr>
            </w:pPr>
            <w:r>
              <w:rPr>
                <w:rFonts w:hint="eastAsia"/>
                <w:bCs/>
                <w:color w:val="auto"/>
                <w:sz w:val="22"/>
                <w:szCs w:val="22"/>
                <w:highlight w:val="none"/>
              </w:rPr>
              <w:t>1.本项目通过“苏采云”系统进行电子采购，即供应商响应文件从政府采购客户端工具制作并通过“苏采云”系统提交。</w:t>
            </w:r>
          </w:p>
          <w:p w14:paraId="1E43F178">
            <w:pPr>
              <w:spacing w:before="73" w:line="288" w:lineRule="auto"/>
              <w:ind w:firstLine="440"/>
              <w:rPr>
                <w:bCs/>
                <w:color w:val="auto"/>
                <w:sz w:val="22"/>
                <w:szCs w:val="22"/>
                <w:highlight w:val="none"/>
              </w:rPr>
            </w:pPr>
            <w:r>
              <w:rPr>
                <w:rFonts w:hint="eastAsia"/>
                <w:bCs/>
                <w:color w:val="auto"/>
                <w:sz w:val="22"/>
                <w:szCs w:val="22"/>
                <w:highlight w:val="none"/>
              </w:rPr>
              <w:t>供应商应当通过“苏采云”系统提交数据电文形式的响应文件（即电子投标）。未进行线上响应文件提交并解密(因“苏采云”系统导致解密失败的除外)的供应商，响应无效。</w:t>
            </w:r>
          </w:p>
          <w:p w14:paraId="42136EE6">
            <w:pPr>
              <w:spacing w:before="73" w:line="288" w:lineRule="auto"/>
              <w:ind w:firstLine="440"/>
              <w:rPr>
                <w:bCs/>
                <w:color w:val="auto"/>
                <w:sz w:val="22"/>
                <w:szCs w:val="22"/>
                <w:highlight w:val="none"/>
              </w:rPr>
            </w:pPr>
            <w:r>
              <w:rPr>
                <w:rFonts w:hint="eastAsia"/>
                <w:bCs/>
                <w:color w:val="auto"/>
                <w:sz w:val="22"/>
                <w:szCs w:val="22"/>
                <w:highlight w:val="none"/>
              </w:rPr>
              <w:t>“CA数字证书”的获取：供应商需办理CA锁，“CA数字证书”的办理方法详见“江苏省政府采购数字证书CA及电子签章办理指南”，网址：http://jsxcmm.com/help/ help.html。</w:t>
            </w:r>
          </w:p>
          <w:p w14:paraId="6136EE24">
            <w:pPr>
              <w:spacing w:before="73" w:line="288" w:lineRule="auto"/>
              <w:ind w:firstLine="440"/>
              <w:rPr>
                <w:bCs/>
                <w:color w:val="auto"/>
                <w:sz w:val="22"/>
                <w:szCs w:val="22"/>
                <w:highlight w:val="none"/>
              </w:rPr>
            </w:pPr>
            <w:r>
              <w:rPr>
                <w:rFonts w:hint="eastAsia"/>
                <w:bCs/>
                <w:color w:val="auto"/>
                <w:sz w:val="22"/>
                <w:szCs w:val="22"/>
                <w:highlight w:val="none"/>
              </w:rPr>
              <w:t>使用需要第三方认证的电子签名、数据电文，通过互联网方式提交首次响应文件。即：使用“电子签名认证证书（CA数字证书）”登录“苏采云”系统（网址：http://jszfcg.jsczt.cn/），按照要求通过互联网方式提交响应文件。</w:t>
            </w:r>
          </w:p>
          <w:p w14:paraId="2CBB7E74">
            <w:pPr>
              <w:spacing w:before="73" w:line="288" w:lineRule="auto"/>
              <w:ind w:firstLine="440"/>
              <w:rPr>
                <w:bCs/>
                <w:color w:val="auto"/>
                <w:sz w:val="22"/>
                <w:szCs w:val="22"/>
                <w:highlight w:val="none"/>
              </w:rPr>
            </w:pPr>
            <w:r>
              <w:rPr>
                <w:rFonts w:hint="eastAsia"/>
                <w:bCs/>
                <w:color w:val="auto"/>
                <w:sz w:val="22"/>
                <w:szCs w:val="22"/>
                <w:highlight w:val="none"/>
              </w:rPr>
              <w:t>“苏采云”系统使用要求：</w:t>
            </w:r>
          </w:p>
          <w:p w14:paraId="7E1E179B">
            <w:pPr>
              <w:spacing w:before="73" w:line="288" w:lineRule="auto"/>
              <w:ind w:firstLine="440"/>
              <w:rPr>
                <w:bCs/>
                <w:color w:val="auto"/>
                <w:sz w:val="22"/>
                <w:szCs w:val="22"/>
                <w:highlight w:val="none"/>
              </w:rPr>
            </w:pPr>
            <w:r>
              <w:rPr>
                <w:rFonts w:hint="eastAsia"/>
                <w:bCs/>
                <w:color w:val="auto"/>
                <w:sz w:val="22"/>
                <w:szCs w:val="22"/>
                <w:highlight w:val="none"/>
              </w:rPr>
              <w:t>使用谷歌浏览器参与不见面开标及响应环节。</w:t>
            </w:r>
          </w:p>
          <w:p w14:paraId="51C0E0B5">
            <w:pPr>
              <w:spacing w:before="73" w:line="288" w:lineRule="auto"/>
              <w:ind w:firstLine="440"/>
              <w:rPr>
                <w:bCs/>
                <w:color w:val="auto"/>
                <w:sz w:val="22"/>
                <w:szCs w:val="22"/>
                <w:highlight w:val="none"/>
              </w:rPr>
            </w:pPr>
            <w:r>
              <w:rPr>
                <w:rFonts w:hint="eastAsia"/>
                <w:bCs/>
                <w:color w:val="auto"/>
                <w:sz w:val="22"/>
                <w:szCs w:val="22"/>
                <w:highlight w:val="none"/>
              </w:rPr>
              <w:t>电脑需提前准备好麦克风、音响，摄像头，提前检查保证能够正常使用。</w:t>
            </w:r>
          </w:p>
          <w:p w14:paraId="1A5B1FEC">
            <w:pPr>
              <w:spacing w:before="73" w:line="288" w:lineRule="auto"/>
              <w:ind w:firstLine="420"/>
              <w:rPr>
                <w:bCs/>
                <w:color w:val="auto"/>
                <w:sz w:val="22"/>
                <w:szCs w:val="22"/>
                <w:highlight w:val="none"/>
              </w:rPr>
            </w:pPr>
            <w:r>
              <w:rPr>
                <w:rFonts w:hint="eastAsia"/>
                <w:bCs/>
                <w:color w:val="auto"/>
                <w:sz w:val="22"/>
                <w:szCs w:val="22"/>
                <w:highlight w:val="none"/>
              </w:rPr>
              <w:t>操作系统至少win7以上，建议使用win10操作系统。</w:t>
            </w:r>
          </w:p>
          <w:p w14:paraId="73512CD5">
            <w:pPr>
              <w:spacing w:before="73" w:line="288" w:lineRule="auto"/>
              <w:ind w:firstLine="420"/>
              <w:rPr>
                <w:b/>
                <w:color w:val="auto"/>
                <w:sz w:val="22"/>
                <w:szCs w:val="22"/>
                <w:highlight w:val="none"/>
              </w:rPr>
            </w:pPr>
            <w:r>
              <w:rPr>
                <w:rFonts w:hint="eastAsia"/>
                <w:bCs/>
                <w:color w:val="auto"/>
                <w:sz w:val="22"/>
                <w:szCs w:val="22"/>
                <w:highlight w:val="none"/>
              </w:rPr>
              <w:t>2.资格审查通过并磋商后，采购代理机构或采购人代表将通过苏采云采购系统提示符合要求的投标供应商进行最终报价(二轮报价)，资格审查和磋商的时长不确定，请投标供应商自行关注报价系统，</w:t>
            </w:r>
            <w:r>
              <w:rPr>
                <w:rFonts w:hint="eastAsia"/>
                <w:b/>
                <w:color w:val="auto"/>
                <w:sz w:val="22"/>
                <w:szCs w:val="22"/>
                <w:highlight w:val="none"/>
              </w:rPr>
              <w:t>在报价系统开启后的20分钟内提交最终报价(二轮报价)。</w:t>
            </w:r>
          </w:p>
          <w:p w14:paraId="05024CC3">
            <w:pPr>
              <w:spacing w:before="73" w:line="288" w:lineRule="auto"/>
              <w:ind w:firstLine="420"/>
              <w:rPr>
                <w:b/>
                <w:color w:val="auto"/>
                <w:sz w:val="22"/>
                <w:szCs w:val="22"/>
                <w:highlight w:val="none"/>
              </w:rPr>
            </w:pPr>
            <w:r>
              <w:rPr>
                <w:rFonts w:hint="eastAsia"/>
                <w:b/>
                <w:color w:val="auto"/>
                <w:sz w:val="22"/>
                <w:szCs w:val="22"/>
                <w:highlight w:val="none"/>
              </w:rPr>
              <w:t>供应商最后一次报价或最终报价应在工程数量、要求、服务等方面不降低的情况下，不得高于前一次报价。否则，磋商小组有权拒绝该磋商报价并不再给予报价补救机会。</w:t>
            </w:r>
          </w:p>
          <w:p w14:paraId="75673AA7">
            <w:pPr>
              <w:spacing w:before="73" w:line="288" w:lineRule="auto"/>
              <w:ind w:firstLine="420"/>
              <w:rPr>
                <w:color w:val="auto"/>
                <w:sz w:val="22"/>
                <w:szCs w:val="22"/>
                <w:highlight w:val="none"/>
              </w:rPr>
            </w:pPr>
            <w:r>
              <w:rPr>
                <w:rFonts w:hint="eastAsia"/>
                <w:b/>
                <w:color w:val="auto"/>
                <w:sz w:val="22"/>
                <w:szCs w:val="22"/>
                <w:highlight w:val="none"/>
              </w:rPr>
              <w:t>各供应商应准时参加磋商会议，按照磋商小组的要求，在规定的时间内通过“苏采云”系统提交最后报价，逾期报价或未报价的，视作退出磋商。</w:t>
            </w:r>
          </w:p>
        </w:tc>
      </w:tr>
      <w:tr w14:paraId="1DF68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trPr>
        <w:tc>
          <w:tcPr>
            <w:tcW w:w="1008" w:type="dxa"/>
            <w:noWrap w:val="0"/>
            <w:vAlign w:val="center"/>
          </w:tcPr>
          <w:p w14:paraId="090D2D15">
            <w:pPr>
              <w:spacing w:before="73" w:line="288" w:lineRule="auto"/>
              <w:jc w:val="center"/>
              <w:rPr>
                <w:color w:val="auto"/>
                <w:sz w:val="22"/>
                <w:szCs w:val="22"/>
                <w:highlight w:val="none"/>
              </w:rPr>
            </w:pPr>
            <w:r>
              <w:rPr>
                <w:color w:val="auto"/>
                <w:sz w:val="22"/>
                <w:szCs w:val="22"/>
                <w:highlight w:val="none"/>
              </w:rPr>
              <w:t>3.3</w:t>
            </w:r>
            <w:r>
              <w:rPr>
                <w:rFonts w:hint="eastAsia"/>
                <w:color w:val="auto"/>
                <w:sz w:val="22"/>
                <w:szCs w:val="22"/>
                <w:highlight w:val="none"/>
              </w:rPr>
              <w:t>.1</w:t>
            </w:r>
          </w:p>
        </w:tc>
        <w:tc>
          <w:tcPr>
            <w:tcW w:w="2337" w:type="dxa"/>
            <w:noWrap w:val="0"/>
            <w:vAlign w:val="center"/>
          </w:tcPr>
          <w:p w14:paraId="5B64AD76">
            <w:pPr>
              <w:spacing w:before="73" w:line="288" w:lineRule="auto"/>
              <w:jc w:val="center"/>
              <w:rPr>
                <w:color w:val="auto"/>
                <w:sz w:val="22"/>
                <w:szCs w:val="22"/>
                <w:highlight w:val="none"/>
              </w:rPr>
            </w:pPr>
            <w:r>
              <w:rPr>
                <w:rFonts w:hint="eastAsia"/>
                <w:color w:val="auto"/>
                <w:sz w:val="22"/>
                <w:szCs w:val="22"/>
                <w:highlight w:val="none"/>
              </w:rPr>
              <w:t>响应</w:t>
            </w:r>
            <w:r>
              <w:rPr>
                <w:color w:val="auto"/>
                <w:sz w:val="22"/>
                <w:szCs w:val="22"/>
                <w:highlight w:val="none"/>
              </w:rPr>
              <w:t>有效期</w:t>
            </w:r>
          </w:p>
        </w:tc>
        <w:tc>
          <w:tcPr>
            <w:tcW w:w="6060" w:type="dxa"/>
            <w:noWrap w:val="0"/>
            <w:vAlign w:val="center"/>
          </w:tcPr>
          <w:p w14:paraId="0FC82D5D">
            <w:pPr>
              <w:spacing w:before="73" w:line="288" w:lineRule="auto"/>
              <w:rPr>
                <w:color w:val="auto"/>
                <w:sz w:val="22"/>
                <w:szCs w:val="22"/>
                <w:highlight w:val="none"/>
              </w:rPr>
            </w:pPr>
            <w:r>
              <w:rPr>
                <w:rFonts w:hint="eastAsia"/>
                <w:color w:val="auto"/>
                <w:sz w:val="22"/>
                <w:szCs w:val="22"/>
                <w:highlight w:val="none"/>
                <w:lang w:val="en-US" w:eastAsia="zh-CN"/>
              </w:rPr>
              <w:t>60天</w:t>
            </w:r>
          </w:p>
        </w:tc>
      </w:tr>
      <w:tr w14:paraId="763E5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 w:hRule="atLeast"/>
        </w:trPr>
        <w:tc>
          <w:tcPr>
            <w:tcW w:w="1008" w:type="dxa"/>
            <w:noWrap w:val="0"/>
            <w:vAlign w:val="center"/>
          </w:tcPr>
          <w:p w14:paraId="584971FD">
            <w:pPr>
              <w:spacing w:before="73" w:line="288" w:lineRule="auto"/>
              <w:jc w:val="center"/>
              <w:rPr>
                <w:color w:val="auto"/>
                <w:sz w:val="22"/>
                <w:szCs w:val="22"/>
                <w:highlight w:val="none"/>
              </w:rPr>
            </w:pPr>
            <w:r>
              <w:rPr>
                <w:color w:val="auto"/>
                <w:sz w:val="22"/>
                <w:szCs w:val="22"/>
                <w:highlight w:val="none"/>
              </w:rPr>
              <w:t>3.4.</w:t>
            </w:r>
            <w:r>
              <w:rPr>
                <w:rFonts w:hint="eastAsia"/>
                <w:color w:val="auto"/>
                <w:sz w:val="22"/>
                <w:szCs w:val="22"/>
                <w:highlight w:val="none"/>
              </w:rPr>
              <w:t>1</w:t>
            </w:r>
          </w:p>
        </w:tc>
        <w:tc>
          <w:tcPr>
            <w:tcW w:w="2337" w:type="dxa"/>
            <w:noWrap w:val="0"/>
            <w:vAlign w:val="center"/>
          </w:tcPr>
          <w:p w14:paraId="21649D58">
            <w:pPr>
              <w:spacing w:before="73" w:line="288" w:lineRule="auto"/>
              <w:jc w:val="center"/>
              <w:rPr>
                <w:color w:val="auto"/>
                <w:sz w:val="22"/>
                <w:szCs w:val="22"/>
                <w:highlight w:val="none"/>
              </w:rPr>
            </w:pPr>
            <w:r>
              <w:rPr>
                <w:rFonts w:hint="eastAsia"/>
                <w:color w:val="auto"/>
                <w:sz w:val="22"/>
                <w:szCs w:val="22"/>
                <w:highlight w:val="none"/>
              </w:rPr>
              <w:t>磋商</w:t>
            </w:r>
            <w:r>
              <w:rPr>
                <w:color w:val="auto"/>
                <w:sz w:val="22"/>
                <w:szCs w:val="22"/>
                <w:highlight w:val="none"/>
              </w:rPr>
              <w:t>保证金</w:t>
            </w:r>
          </w:p>
        </w:tc>
        <w:tc>
          <w:tcPr>
            <w:tcW w:w="6060" w:type="dxa"/>
            <w:noWrap w:val="0"/>
            <w:vAlign w:val="center"/>
          </w:tcPr>
          <w:p w14:paraId="1CAFB685">
            <w:pPr>
              <w:spacing w:before="73" w:line="288" w:lineRule="auto"/>
              <w:rPr>
                <w:color w:val="auto"/>
                <w:sz w:val="22"/>
                <w:szCs w:val="22"/>
                <w:highlight w:val="none"/>
              </w:rPr>
            </w:pPr>
            <w:r>
              <w:rPr>
                <w:rFonts w:hint="eastAsia"/>
                <w:color w:val="auto"/>
                <w:sz w:val="22"/>
                <w:szCs w:val="22"/>
                <w:highlight w:val="none"/>
              </w:rPr>
              <w:t>/</w:t>
            </w:r>
          </w:p>
        </w:tc>
      </w:tr>
      <w:tr w14:paraId="26255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9" w:hRule="atLeast"/>
        </w:trPr>
        <w:tc>
          <w:tcPr>
            <w:tcW w:w="1008" w:type="dxa"/>
            <w:noWrap w:val="0"/>
            <w:vAlign w:val="center"/>
          </w:tcPr>
          <w:p w14:paraId="0A9D56D8">
            <w:pPr>
              <w:spacing w:before="73" w:line="288" w:lineRule="auto"/>
              <w:jc w:val="center"/>
              <w:rPr>
                <w:color w:val="auto"/>
                <w:sz w:val="22"/>
                <w:szCs w:val="22"/>
                <w:highlight w:val="none"/>
              </w:rPr>
            </w:pPr>
            <w:r>
              <w:rPr>
                <w:rFonts w:hint="eastAsia"/>
                <w:color w:val="auto"/>
                <w:sz w:val="22"/>
                <w:szCs w:val="22"/>
                <w:highlight w:val="none"/>
              </w:rPr>
              <w:t>3.6.1</w:t>
            </w:r>
          </w:p>
        </w:tc>
        <w:tc>
          <w:tcPr>
            <w:tcW w:w="2337" w:type="dxa"/>
            <w:noWrap w:val="0"/>
            <w:vAlign w:val="center"/>
          </w:tcPr>
          <w:p w14:paraId="702FE54D">
            <w:pPr>
              <w:spacing w:before="73" w:line="288" w:lineRule="auto"/>
              <w:jc w:val="center"/>
              <w:rPr>
                <w:color w:val="auto"/>
                <w:sz w:val="22"/>
                <w:szCs w:val="22"/>
                <w:highlight w:val="none"/>
              </w:rPr>
            </w:pPr>
            <w:r>
              <w:rPr>
                <w:rFonts w:hint="eastAsia"/>
                <w:color w:val="auto"/>
                <w:sz w:val="22"/>
                <w:szCs w:val="22"/>
                <w:highlight w:val="none"/>
              </w:rPr>
              <w:t>响应文件的份数</w:t>
            </w:r>
          </w:p>
        </w:tc>
        <w:tc>
          <w:tcPr>
            <w:tcW w:w="6060" w:type="dxa"/>
            <w:noWrap w:val="0"/>
            <w:vAlign w:val="center"/>
          </w:tcPr>
          <w:p w14:paraId="12D9164C">
            <w:pPr>
              <w:pStyle w:val="284"/>
              <w:spacing w:before="73" w:line="288" w:lineRule="auto"/>
              <w:rPr>
                <w:rFonts w:ascii="Times New Roman" w:hAnsi="Times New Roman" w:eastAsia="宋体"/>
                <w:color w:val="auto"/>
                <w:sz w:val="22"/>
                <w:szCs w:val="22"/>
                <w:highlight w:val="none"/>
              </w:rPr>
            </w:pPr>
            <w:r>
              <w:rPr>
                <w:rFonts w:hint="eastAsia" w:ascii="Times New Roman" w:hAnsi="Times New Roman" w:eastAsia="宋体"/>
                <w:color w:val="auto"/>
                <w:sz w:val="22"/>
                <w:szCs w:val="22"/>
                <w:highlight w:val="none"/>
              </w:rPr>
              <w:t>电子响应文件壹份</w:t>
            </w:r>
          </w:p>
        </w:tc>
      </w:tr>
      <w:tr w14:paraId="7FB71D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8" w:hRule="atLeast"/>
        </w:trPr>
        <w:tc>
          <w:tcPr>
            <w:tcW w:w="1008" w:type="dxa"/>
            <w:noWrap w:val="0"/>
            <w:vAlign w:val="center"/>
          </w:tcPr>
          <w:p w14:paraId="4CBADA56">
            <w:pPr>
              <w:spacing w:before="73" w:line="288" w:lineRule="auto"/>
              <w:jc w:val="center"/>
              <w:rPr>
                <w:color w:val="auto"/>
                <w:sz w:val="22"/>
                <w:szCs w:val="22"/>
                <w:highlight w:val="none"/>
              </w:rPr>
            </w:pPr>
            <w:r>
              <w:rPr>
                <w:rFonts w:hint="eastAsia"/>
                <w:color w:val="auto"/>
                <w:sz w:val="22"/>
                <w:szCs w:val="22"/>
                <w:highlight w:val="none"/>
              </w:rPr>
              <w:t>3.6.2</w:t>
            </w:r>
          </w:p>
        </w:tc>
        <w:tc>
          <w:tcPr>
            <w:tcW w:w="2337" w:type="dxa"/>
            <w:noWrap w:val="0"/>
            <w:vAlign w:val="center"/>
          </w:tcPr>
          <w:p w14:paraId="78EBCC35">
            <w:pPr>
              <w:spacing w:before="73" w:line="288" w:lineRule="auto"/>
              <w:jc w:val="center"/>
              <w:rPr>
                <w:color w:val="auto"/>
                <w:sz w:val="22"/>
                <w:szCs w:val="22"/>
                <w:highlight w:val="none"/>
              </w:rPr>
            </w:pPr>
            <w:r>
              <w:rPr>
                <w:rFonts w:hint="eastAsia"/>
                <w:color w:val="auto"/>
                <w:sz w:val="22"/>
                <w:szCs w:val="22"/>
                <w:highlight w:val="none"/>
              </w:rPr>
              <w:t>响应文件的签署</w:t>
            </w:r>
          </w:p>
        </w:tc>
        <w:tc>
          <w:tcPr>
            <w:tcW w:w="6060" w:type="dxa"/>
            <w:noWrap w:val="0"/>
            <w:vAlign w:val="center"/>
          </w:tcPr>
          <w:p w14:paraId="629625EE">
            <w:pPr>
              <w:pStyle w:val="285"/>
              <w:spacing w:before="73" w:beforeAutospacing="0" w:after="0" w:afterAutospacing="0" w:line="288" w:lineRule="auto"/>
              <w:jc w:val="both"/>
              <w:rPr>
                <w:rFonts w:ascii="Times New Roman" w:hAnsi="Times New Roman" w:cs="Times New Roman"/>
                <w:color w:val="auto"/>
                <w:sz w:val="22"/>
                <w:szCs w:val="22"/>
                <w:highlight w:val="none"/>
              </w:rPr>
            </w:pPr>
            <w:r>
              <w:rPr>
                <w:rFonts w:hint="eastAsia" w:ascii="Times New Roman" w:hAnsi="Times New Roman" w:cs="Times New Roman"/>
                <w:color w:val="auto"/>
                <w:sz w:val="22"/>
                <w:szCs w:val="22"/>
                <w:highlight w:val="none"/>
              </w:rPr>
              <w:t>响应函、供应商基本资格条件承诺书、中小企业声明函（若需）及其他第五章“响应文件编制和格式”中要求签字盖章处须加盖供应商法人章并经法定代表人或经其授权的代表</w:t>
            </w:r>
            <w:r>
              <w:rPr>
                <w:rFonts w:hint="eastAsia" w:ascii="Times New Roman" w:hAnsi="Times New Roman" w:cs="Times New Roman"/>
                <w:color w:val="auto"/>
                <w:sz w:val="22"/>
                <w:szCs w:val="22"/>
                <w:highlight w:val="none"/>
                <w:lang w:eastAsia="zh-CN"/>
              </w:rPr>
              <w:t>签字或盖章</w:t>
            </w:r>
            <w:r>
              <w:rPr>
                <w:rFonts w:hint="eastAsia" w:ascii="Times New Roman" w:hAnsi="Times New Roman" w:cs="Times New Roman"/>
                <w:color w:val="auto"/>
                <w:sz w:val="22"/>
                <w:szCs w:val="22"/>
                <w:highlight w:val="none"/>
              </w:rPr>
              <w:t>。授权代表</w:t>
            </w:r>
            <w:r>
              <w:rPr>
                <w:rFonts w:hint="eastAsia" w:ascii="Times New Roman" w:hAnsi="Times New Roman" w:cs="Times New Roman"/>
                <w:color w:val="auto"/>
                <w:sz w:val="22"/>
                <w:szCs w:val="22"/>
                <w:highlight w:val="none"/>
                <w:lang w:eastAsia="zh-CN"/>
              </w:rPr>
              <w:t>签字或盖章</w:t>
            </w:r>
            <w:r>
              <w:rPr>
                <w:rFonts w:hint="eastAsia" w:ascii="Times New Roman" w:hAnsi="Times New Roman" w:cs="Times New Roman"/>
                <w:color w:val="auto"/>
                <w:sz w:val="22"/>
                <w:szCs w:val="22"/>
                <w:highlight w:val="none"/>
              </w:rPr>
              <w:t>时，须将《法定代表人授权书》及其附件编制在响应文件中。</w:t>
            </w:r>
          </w:p>
        </w:tc>
      </w:tr>
      <w:tr w14:paraId="13C77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8" w:hRule="atLeast"/>
        </w:trPr>
        <w:tc>
          <w:tcPr>
            <w:tcW w:w="1008" w:type="dxa"/>
            <w:noWrap w:val="0"/>
            <w:vAlign w:val="center"/>
          </w:tcPr>
          <w:p w14:paraId="1D411524">
            <w:pPr>
              <w:spacing w:before="73" w:line="288" w:lineRule="auto"/>
              <w:jc w:val="center"/>
              <w:rPr>
                <w:color w:val="auto"/>
                <w:sz w:val="22"/>
                <w:szCs w:val="22"/>
                <w:highlight w:val="none"/>
              </w:rPr>
            </w:pPr>
            <w:r>
              <w:rPr>
                <w:rFonts w:hint="eastAsia"/>
                <w:color w:val="auto"/>
                <w:sz w:val="22"/>
                <w:szCs w:val="22"/>
                <w:highlight w:val="none"/>
              </w:rPr>
              <w:t>4.1.1</w:t>
            </w:r>
          </w:p>
        </w:tc>
        <w:tc>
          <w:tcPr>
            <w:tcW w:w="2337" w:type="dxa"/>
            <w:noWrap w:val="0"/>
            <w:vAlign w:val="center"/>
          </w:tcPr>
          <w:p w14:paraId="031DBEB6">
            <w:pPr>
              <w:spacing w:before="73" w:line="288" w:lineRule="auto"/>
              <w:jc w:val="center"/>
              <w:rPr>
                <w:color w:val="auto"/>
                <w:sz w:val="22"/>
                <w:szCs w:val="22"/>
                <w:highlight w:val="none"/>
              </w:rPr>
            </w:pPr>
            <w:r>
              <w:rPr>
                <w:rFonts w:hint="eastAsia"/>
                <w:color w:val="auto"/>
                <w:sz w:val="22"/>
                <w:szCs w:val="22"/>
                <w:highlight w:val="none"/>
              </w:rPr>
              <w:t>响应文件开启时间和地点</w:t>
            </w:r>
          </w:p>
        </w:tc>
        <w:tc>
          <w:tcPr>
            <w:tcW w:w="6060" w:type="dxa"/>
            <w:noWrap w:val="0"/>
            <w:vAlign w:val="center"/>
          </w:tcPr>
          <w:p w14:paraId="59994093">
            <w:pPr>
              <w:spacing w:before="73" w:line="288" w:lineRule="auto"/>
              <w:rPr>
                <w:color w:val="auto"/>
                <w:sz w:val="22"/>
                <w:szCs w:val="22"/>
                <w:highlight w:val="none"/>
              </w:rPr>
            </w:pPr>
            <w:r>
              <w:rPr>
                <w:color w:val="auto"/>
                <w:sz w:val="22"/>
                <w:szCs w:val="22"/>
                <w:highlight w:val="none"/>
              </w:rPr>
              <w:t>开</w:t>
            </w:r>
            <w:r>
              <w:rPr>
                <w:rFonts w:hint="eastAsia"/>
                <w:color w:val="auto"/>
                <w:sz w:val="22"/>
                <w:szCs w:val="22"/>
                <w:highlight w:val="none"/>
              </w:rPr>
              <w:t>启</w:t>
            </w:r>
            <w:r>
              <w:rPr>
                <w:color w:val="auto"/>
                <w:sz w:val="22"/>
                <w:szCs w:val="22"/>
                <w:highlight w:val="none"/>
              </w:rPr>
              <w:t>时间</w:t>
            </w:r>
            <w:r>
              <w:rPr>
                <w:rFonts w:hint="eastAsia"/>
                <w:color w:val="auto"/>
                <w:sz w:val="22"/>
                <w:szCs w:val="22"/>
                <w:highlight w:val="none"/>
              </w:rPr>
              <w:t>：</w:t>
            </w:r>
            <w:bookmarkStart w:id="25" w:name="EB72e20e40757d438698d0d924b6237fcc"/>
            <w:bookmarkEnd w:id="25"/>
            <w:r>
              <w:rPr>
                <w:color w:val="auto"/>
                <w:sz w:val="22"/>
                <w:szCs w:val="22"/>
                <w:highlight w:val="none"/>
              </w:rPr>
              <w:t>同</w:t>
            </w:r>
            <w:r>
              <w:rPr>
                <w:rFonts w:hint="eastAsia"/>
                <w:color w:val="auto"/>
                <w:sz w:val="22"/>
                <w:szCs w:val="22"/>
                <w:highlight w:val="none"/>
              </w:rPr>
              <w:t>提交首次响应文件截止时间。</w:t>
            </w:r>
          </w:p>
          <w:p w14:paraId="170A466A">
            <w:pPr>
              <w:pStyle w:val="285"/>
              <w:spacing w:before="73" w:beforeAutospacing="0" w:after="0" w:afterAutospacing="0" w:line="288" w:lineRule="auto"/>
              <w:jc w:val="both"/>
              <w:rPr>
                <w:color w:val="auto"/>
                <w:sz w:val="22"/>
                <w:szCs w:val="22"/>
                <w:highlight w:val="none"/>
              </w:rPr>
            </w:pPr>
            <w:r>
              <w:rPr>
                <w:rFonts w:hint="eastAsia" w:ascii="Times New Roman" w:hAnsi="Times New Roman" w:cs="Times New Roman"/>
                <w:color w:val="auto"/>
                <w:sz w:val="22"/>
                <w:szCs w:val="22"/>
                <w:highlight w:val="none"/>
              </w:rPr>
              <w:t>地点：“苏采云”系统（网址：http://jszfcg.jsczt.cn/）“开标大厅，点击“苏采云”进入系统“开标大厅”。）</w:t>
            </w:r>
          </w:p>
        </w:tc>
      </w:tr>
      <w:tr w14:paraId="290F4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1008" w:type="dxa"/>
            <w:noWrap w:val="0"/>
            <w:vAlign w:val="center"/>
          </w:tcPr>
          <w:p w14:paraId="02D78290">
            <w:pPr>
              <w:spacing w:before="73" w:line="288" w:lineRule="auto"/>
              <w:jc w:val="center"/>
              <w:rPr>
                <w:color w:val="auto"/>
                <w:sz w:val="22"/>
                <w:szCs w:val="22"/>
                <w:highlight w:val="none"/>
              </w:rPr>
            </w:pPr>
            <w:r>
              <w:rPr>
                <w:rFonts w:hint="eastAsia"/>
                <w:color w:val="auto"/>
                <w:sz w:val="22"/>
                <w:szCs w:val="22"/>
                <w:highlight w:val="none"/>
              </w:rPr>
              <w:t>5</w:t>
            </w:r>
            <w:r>
              <w:rPr>
                <w:color w:val="auto"/>
                <w:sz w:val="22"/>
                <w:szCs w:val="22"/>
                <w:highlight w:val="none"/>
              </w:rPr>
              <w:t>.1.1</w:t>
            </w:r>
          </w:p>
        </w:tc>
        <w:tc>
          <w:tcPr>
            <w:tcW w:w="2337" w:type="dxa"/>
            <w:noWrap w:val="0"/>
            <w:vAlign w:val="center"/>
          </w:tcPr>
          <w:p w14:paraId="10F34F3E">
            <w:pPr>
              <w:pStyle w:val="246"/>
              <w:spacing w:before="73" w:line="288" w:lineRule="auto"/>
              <w:jc w:val="center"/>
              <w:rPr>
                <w:color w:val="auto"/>
                <w:sz w:val="22"/>
                <w:szCs w:val="22"/>
                <w:highlight w:val="none"/>
              </w:rPr>
            </w:pPr>
            <w:r>
              <w:rPr>
                <w:rFonts w:hint="eastAsia"/>
                <w:color w:val="auto"/>
                <w:sz w:val="22"/>
                <w:szCs w:val="22"/>
                <w:highlight w:val="none"/>
              </w:rPr>
              <w:t>磋商小组组成</w:t>
            </w:r>
          </w:p>
        </w:tc>
        <w:tc>
          <w:tcPr>
            <w:tcW w:w="6060" w:type="dxa"/>
            <w:noWrap w:val="0"/>
            <w:vAlign w:val="center"/>
          </w:tcPr>
          <w:p w14:paraId="0D6AB2DF">
            <w:pPr>
              <w:spacing w:before="73" w:line="288" w:lineRule="auto"/>
              <w:rPr>
                <w:color w:val="auto"/>
                <w:sz w:val="22"/>
                <w:szCs w:val="22"/>
                <w:highlight w:val="none"/>
              </w:rPr>
            </w:pPr>
            <w:r>
              <w:rPr>
                <w:rFonts w:hint="eastAsia"/>
                <w:color w:val="auto"/>
                <w:sz w:val="22"/>
                <w:szCs w:val="22"/>
                <w:highlight w:val="none"/>
              </w:rPr>
              <w:t>磋商小组人数：3人</w:t>
            </w:r>
          </w:p>
        </w:tc>
      </w:tr>
      <w:tr w14:paraId="35E4FD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noWrap w:val="0"/>
            <w:vAlign w:val="center"/>
          </w:tcPr>
          <w:p w14:paraId="514860B2">
            <w:pPr>
              <w:spacing w:before="73" w:line="288" w:lineRule="auto"/>
              <w:jc w:val="center"/>
              <w:rPr>
                <w:color w:val="auto"/>
                <w:sz w:val="22"/>
                <w:szCs w:val="22"/>
                <w:highlight w:val="none"/>
              </w:rPr>
            </w:pPr>
            <w:r>
              <w:rPr>
                <w:rFonts w:hint="eastAsia"/>
                <w:color w:val="auto"/>
                <w:sz w:val="22"/>
                <w:szCs w:val="22"/>
                <w:highlight w:val="none"/>
              </w:rPr>
              <w:t>6.2</w:t>
            </w:r>
          </w:p>
        </w:tc>
        <w:tc>
          <w:tcPr>
            <w:tcW w:w="2337" w:type="dxa"/>
            <w:noWrap w:val="0"/>
            <w:vAlign w:val="center"/>
          </w:tcPr>
          <w:p w14:paraId="121D939E">
            <w:pPr>
              <w:spacing w:before="73" w:line="288" w:lineRule="auto"/>
              <w:jc w:val="center"/>
              <w:rPr>
                <w:color w:val="auto"/>
                <w:sz w:val="22"/>
                <w:szCs w:val="22"/>
                <w:highlight w:val="none"/>
              </w:rPr>
            </w:pPr>
            <w:r>
              <w:rPr>
                <w:rFonts w:hint="eastAsia"/>
                <w:color w:val="auto"/>
                <w:sz w:val="22"/>
                <w:szCs w:val="22"/>
                <w:highlight w:val="none"/>
              </w:rPr>
              <w:t>成交公告媒介</w:t>
            </w:r>
          </w:p>
        </w:tc>
        <w:tc>
          <w:tcPr>
            <w:tcW w:w="6060" w:type="dxa"/>
            <w:noWrap w:val="0"/>
            <w:vAlign w:val="center"/>
          </w:tcPr>
          <w:p w14:paraId="7CB7FFBE">
            <w:pPr>
              <w:spacing w:before="73" w:line="288" w:lineRule="auto"/>
              <w:rPr>
                <w:rFonts w:cs="宋体"/>
                <w:color w:val="auto"/>
                <w:sz w:val="22"/>
                <w:szCs w:val="22"/>
                <w:highlight w:val="none"/>
              </w:rPr>
            </w:pPr>
            <w:r>
              <w:rPr>
                <w:rFonts w:hint="eastAsia" w:ascii="宋体" w:hAnsi="宋体"/>
                <w:color w:val="auto"/>
                <w:sz w:val="22"/>
                <w:szCs w:val="22"/>
                <w:highlight w:val="none"/>
              </w:rPr>
              <w:t>江苏政府采购网（</w:t>
            </w:r>
            <w:r>
              <w:rPr>
                <w:rFonts w:ascii="宋体" w:hAnsi="宋体"/>
                <w:color w:val="auto"/>
                <w:sz w:val="22"/>
                <w:szCs w:val="22"/>
                <w:highlight w:val="none"/>
              </w:rPr>
              <w:t>www.ccgp-jiangsu.gov.cn</w:t>
            </w:r>
            <w:r>
              <w:rPr>
                <w:rFonts w:hint="eastAsia" w:ascii="宋体" w:hAnsi="宋体"/>
                <w:color w:val="auto"/>
                <w:sz w:val="22"/>
                <w:szCs w:val="22"/>
                <w:highlight w:val="none"/>
              </w:rPr>
              <w:t>）</w:t>
            </w:r>
          </w:p>
        </w:tc>
      </w:tr>
      <w:tr w14:paraId="50647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1008" w:type="dxa"/>
            <w:noWrap w:val="0"/>
            <w:vAlign w:val="center"/>
          </w:tcPr>
          <w:p w14:paraId="310E80C1">
            <w:pPr>
              <w:spacing w:before="73" w:line="288" w:lineRule="auto"/>
              <w:jc w:val="center"/>
              <w:rPr>
                <w:rFonts w:ascii="宋体" w:hAnsi="宋体" w:cs="宋体"/>
                <w:color w:val="auto"/>
                <w:sz w:val="22"/>
                <w:szCs w:val="22"/>
                <w:highlight w:val="none"/>
              </w:rPr>
            </w:pPr>
            <w:r>
              <w:rPr>
                <w:rFonts w:hint="eastAsia" w:ascii="宋体" w:hAnsi="宋体" w:cs="宋体"/>
                <w:color w:val="auto"/>
                <w:sz w:val="22"/>
                <w:szCs w:val="22"/>
                <w:highlight w:val="none"/>
              </w:rPr>
              <w:t>8.1.1</w:t>
            </w:r>
          </w:p>
        </w:tc>
        <w:tc>
          <w:tcPr>
            <w:tcW w:w="2337" w:type="dxa"/>
            <w:noWrap w:val="0"/>
            <w:vAlign w:val="center"/>
          </w:tcPr>
          <w:p w14:paraId="7A103D62">
            <w:pPr>
              <w:spacing w:before="73" w:line="288" w:lineRule="auto"/>
              <w:jc w:val="center"/>
              <w:rPr>
                <w:rFonts w:ascii="宋体" w:hAnsi="宋体" w:cs="宋体"/>
                <w:color w:val="auto"/>
                <w:sz w:val="22"/>
                <w:szCs w:val="22"/>
                <w:highlight w:val="none"/>
              </w:rPr>
            </w:pPr>
            <w:r>
              <w:rPr>
                <w:rFonts w:hint="eastAsia" w:ascii="宋体" w:hAnsi="宋体" w:cs="宋体"/>
                <w:color w:val="auto"/>
                <w:sz w:val="22"/>
                <w:szCs w:val="22"/>
                <w:highlight w:val="none"/>
              </w:rPr>
              <w:t>履约保证金</w:t>
            </w:r>
          </w:p>
        </w:tc>
        <w:tc>
          <w:tcPr>
            <w:tcW w:w="6060" w:type="dxa"/>
            <w:noWrap w:val="0"/>
            <w:vAlign w:val="center"/>
          </w:tcPr>
          <w:p w14:paraId="526F07FB">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履约保证金的形式：支票、汇票、本票或者金融机构、担保机构出具的保函、电子履约保函（保险）等法律法规允许的非现金形式</w:t>
            </w:r>
          </w:p>
          <w:p w14:paraId="54C24D00">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履约保证金的金额：</w:t>
            </w:r>
            <w:bookmarkStart w:id="26" w:name="EB6da6d62365f647dbaaea15a3daef1b11"/>
            <w:r>
              <w:rPr>
                <w:rFonts w:hint="eastAsia" w:ascii="宋体" w:hAnsi="宋体" w:cs="宋体"/>
                <w:color w:val="auto"/>
                <w:sz w:val="22"/>
                <w:szCs w:val="22"/>
                <w:highlight w:val="none"/>
              </w:rPr>
              <w:t xml:space="preserve">成交价×10% </w:t>
            </w:r>
            <w:bookmarkEnd w:id="26"/>
          </w:p>
          <w:p w14:paraId="2A1D1986">
            <w:pPr>
              <w:spacing w:before="73" w:line="288"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履约保证金的提交时间：</w:t>
            </w:r>
            <w:bookmarkStart w:id="27" w:name="EB022d3830b2a445e1ac704a813eae8795"/>
            <w:r>
              <w:rPr>
                <w:rFonts w:hint="eastAsia" w:ascii="宋体" w:hAnsi="宋体" w:cs="宋体"/>
                <w:color w:val="auto"/>
                <w:sz w:val="22"/>
                <w:szCs w:val="22"/>
                <w:highlight w:val="none"/>
              </w:rPr>
              <w:t>成交通知书签发后签订合同前</w:t>
            </w:r>
            <w:bookmarkEnd w:id="27"/>
          </w:p>
          <w:p w14:paraId="76240523">
            <w:pPr>
              <w:pStyle w:val="64"/>
              <w:ind w:left="0" w:leftChars="0" w:firstLine="0" w:firstLineChars="0"/>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履约保证金返还：工程竣工验收合格后凭工程竣工验收合格证书和收据办理退还手续，履约保证金无息返还</w:t>
            </w:r>
          </w:p>
          <w:p w14:paraId="53D3073D">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注：电子履约保函（保险）的形式和缴纳方式执行“关于在全省政府采购领域推行电子履约保函(保险)的通知”（苏财购〔2023〕150号）。</w:t>
            </w:r>
          </w:p>
        </w:tc>
      </w:tr>
      <w:tr w14:paraId="67034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1008" w:type="dxa"/>
            <w:noWrap w:val="0"/>
            <w:vAlign w:val="center"/>
          </w:tcPr>
          <w:p w14:paraId="0FB346C4">
            <w:pPr>
              <w:spacing w:before="73" w:line="288" w:lineRule="auto"/>
              <w:jc w:val="center"/>
              <w:rPr>
                <w:rFonts w:ascii="宋体" w:hAnsi="宋体" w:cs="宋体"/>
                <w:color w:val="auto"/>
                <w:sz w:val="22"/>
                <w:szCs w:val="22"/>
                <w:highlight w:val="none"/>
              </w:rPr>
            </w:pPr>
            <w:r>
              <w:rPr>
                <w:rFonts w:hint="eastAsia" w:ascii="宋体" w:hAnsi="宋体" w:cs="宋体"/>
                <w:color w:val="auto"/>
                <w:sz w:val="22"/>
                <w:szCs w:val="22"/>
                <w:highlight w:val="none"/>
              </w:rPr>
              <w:t>8.2.1</w:t>
            </w:r>
          </w:p>
        </w:tc>
        <w:tc>
          <w:tcPr>
            <w:tcW w:w="2337" w:type="dxa"/>
            <w:noWrap w:val="0"/>
            <w:vAlign w:val="center"/>
          </w:tcPr>
          <w:p w14:paraId="12153E7A">
            <w:pPr>
              <w:spacing w:before="73" w:line="288" w:lineRule="auto"/>
              <w:jc w:val="center"/>
              <w:rPr>
                <w:rFonts w:ascii="宋体" w:hAnsi="宋体" w:cs="宋体"/>
                <w:color w:val="auto"/>
                <w:sz w:val="22"/>
                <w:szCs w:val="22"/>
                <w:highlight w:val="none"/>
              </w:rPr>
            </w:pPr>
            <w:r>
              <w:rPr>
                <w:rFonts w:hint="eastAsia" w:ascii="宋体" w:hAnsi="宋体" w:cs="宋体"/>
                <w:color w:val="auto"/>
                <w:sz w:val="22"/>
                <w:szCs w:val="22"/>
                <w:highlight w:val="none"/>
              </w:rPr>
              <w:t>签订合同的时间要求</w:t>
            </w:r>
          </w:p>
        </w:tc>
        <w:tc>
          <w:tcPr>
            <w:tcW w:w="6060" w:type="dxa"/>
            <w:noWrap w:val="0"/>
            <w:vAlign w:val="center"/>
          </w:tcPr>
          <w:p w14:paraId="7142EF1F">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自成交通知书发出之日起</w:t>
            </w:r>
            <w:r>
              <w:rPr>
                <w:rFonts w:hint="eastAsia" w:ascii="宋体" w:hAnsi="宋体" w:cs="宋体"/>
                <w:color w:val="auto"/>
                <w:sz w:val="22"/>
                <w:szCs w:val="22"/>
                <w:highlight w:val="none"/>
                <w:u w:val="single"/>
              </w:rPr>
              <w:t>30</w:t>
            </w:r>
            <w:r>
              <w:rPr>
                <w:rFonts w:hint="eastAsia" w:ascii="宋体" w:hAnsi="宋体" w:cs="宋体"/>
                <w:color w:val="auto"/>
                <w:sz w:val="22"/>
                <w:szCs w:val="22"/>
                <w:highlight w:val="none"/>
              </w:rPr>
              <w:t>天内</w:t>
            </w:r>
          </w:p>
        </w:tc>
      </w:tr>
      <w:tr w14:paraId="45D9C2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1008" w:type="dxa"/>
            <w:noWrap w:val="0"/>
            <w:vAlign w:val="center"/>
          </w:tcPr>
          <w:p w14:paraId="57E16ED3">
            <w:pPr>
              <w:spacing w:before="73" w:line="288" w:lineRule="auto"/>
              <w:jc w:val="center"/>
              <w:rPr>
                <w:rFonts w:ascii="宋体" w:hAnsi="宋体" w:cs="宋体"/>
                <w:b/>
                <w:color w:val="auto"/>
                <w:sz w:val="22"/>
                <w:szCs w:val="22"/>
                <w:highlight w:val="none"/>
              </w:rPr>
            </w:pPr>
            <w:r>
              <w:rPr>
                <w:rFonts w:hint="eastAsia" w:ascii="宋体" w:hAnsi="宋体" w:cs="宋体"/>
                <w:b/>
                <w:color w:val="auto"/>
                <w:sz w:val="22"/>
                <w:szCs w:val="22"/>
                <w:highlight w:val="none"/>
              </w:rPr>
              <w:t>11</w:t>
            </w:r>
          </w:p>
        </w:tc>
        <w:tc>
          <w:tcPr>
            <w:tcW w:w="8397" w:type="dxa"/>
            <w:gridSpan w:val="2"/>
            <w:noWrap w:val="0"/>
          </w:tcPr>
          <w:p w14:paraId="3A8D0F96">
            <w:pPr>
              <w:spacing w:before="73" w:line="288" w:lineRule="auto"/>
              <w:jc w:val="center"/>
              <w:rPr>
                <w:rFonts w:ascii="宋体" w:hAnsi="宋体" w:cs="宋体"/>
                <w:b/>
                <w:color w:val="auto"/>
                <w:sz w:val="22"/>
                <w:szCs w:val="22"/>
                <w:highlight w:val="none"/>
              </w:rPr>
            </w:pPr>
            <w:r>
              <w:rPr>
                <w:rFonts w:hint="eastAsia" w:ascii="宋体" w:hAnsi="宋体" w:cs="宋体"/>
                <w:b/>
                <w:color w:val="auto"/>
                <w:sz w:val="22"/>
                <w:szCs w:val="22"/>
                <w:highlight w:val="none"/>
              </w:rPr>
              <w:t>需要补充的其他内容</w:t>
            </w:r>
          </w:p>
        </w:tc>
      </w:tr>
      <w:tr w14:paraId="1E4CC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trPr>
        <w:tc>
          <w:tcPr>
            <w:tcW w:w="1008" w:type="dxa"/>
            <w:noWrap w:val="0"/>
            <w:vAlign w:val="center"/>
          </w:tcPr>
          <w:p w14:paraId="49E52F09">
            <w:pPr>
              <w:spacing w:before="73" w:line="288" w:lineRule="auto"/>
              <w:jc w:val="center"/>
              <w:rPr>
                <w:rFonts w:ascii="宋体" w:hAnsi="宋体" w:cs="宋体"/>
                <w:b/>
                <w:color w:val="auto"/>
                <w:sz w:val="22"/>
                <w:szCs w:val="22"/>
                <w:highlight w:val="none"/>
              </w:rPr>
            </w:pPr>
            <w:r>
              <w:rPr>
                <w:rFonts w:hint="eastAsia" w:ascii="宋体" w:hAnsi="宋体" w:cs="宋体"/>
                <w:b/>
                <w:color w:val="auto"/>
                <w:sz w:val="22"/>
                <w:szCs w:val="22"/>
                <w:highlight w:val="none"/>
              </w:rPr>
              <w:t>11.1</w:t>
            </w:r>
          </w:p>
        </w:tc>
        <w:tc>
          <w:tcPr>
            <w:tcW w:w="8397" w:type="dxa"/>
            <w:gridSpan w:val="2"/>
            <w:noWrap w:val="0"/>
          </w:tcPr>
          <w:p w14:paraId="0AB1A9FD">
            <w:pPr>
              <w:spacing w:before="73" w:line="288"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1.</w:t>
            </w:r>
            <w:r>
              <w:rPr>
                <w:rFonts w:hint="eastAsia" w:ascii="宋体" w:hAnsi="宋体" w:cs="宋体"/>
                <w:b/>
                <w:color w:val="auto"/>
                <w:sz w:val="21"/>
                <w:szCs w:val="21"/>
                <w:highlight w:val="none"/>
              </w:rPr>
              <w:t>本项目代理服务费由成交人在领取成交通知书前</w:t>
            </w:r>
            <w:r>
              <w:rPr>
                <w:rFonts w:hint="eastAsia" w:ascii="宋体" w:hAnsi="宋体" w:cs="宋体"/>
                <w:b/>
                <w:color w:val="auto"/>
                <w:sz w:val="21"/>
                <w:szCs w:val="21"/>
                <w:highlight w:val="none"/>
                <w:lang w:val="en-US" w:eastAsia="zh-CN"/>
              </w:rPr>
              <w:t>支</w:t>
            </w:r>
            <w:r>
              <w:rPr>
                <w:rFonts w:hint="eastAsia" w:ascii="宋体" w:hAnsi="宋体" w:cs="宋体"/>
                <w:b/>
                <w:color w:val="auto"/>
                <w:sz w:val="21"/>
                <w:szCs w:val="21"/>
                <w:highlight w:val="none"/>
              </w:rPr>
              <w:t>付。采购代理服务费收费标准参考计价格【2002】1980号文件及发改价格【2011】534号文件规定的58%计取</w:t>
            </w:r>
            <w:r>
              <w:rPr>
                <w:rFonts w:hint="eastAsia" w:ascii="宋体" w:hAnsi="宋体" w:cs="宋体"/>
                <w:b/>
                <w:color w:val="auto"/>
                <w:sz w:val="21"/>
                <w:szCs w:val="21"/>
                <w:highlight w:val="none"/>
                <w:lang w:eastAsia="zh-CN"/>
              </w:rPr>
              <w:t>（</w:t>
            </w:r>
            <w:r>
              <w:rPr>
                <w:rFonts w:hint="eastAsia" w:ascii="宋体" w:hAnsi="宋体" w:cs="宋体"/>
                <w:b/>
                <w:color w:val="auto"/>
                <w:sz w:val="21"/>
                <w:szCs w:val="21"/>
                <w:highlight w:val="none"/>
                <w:lang w:val="en-US" w:eastAsia="zh-CN"/>
              </w:rPr>
              <w:t>暂定17818元</w:t>
            </w:r>
            <w:r>
              <w:rPr>
                <w:rFonts w:hint="eastAsia" w:ascii="宋体" w:hAnsi="宋体" w:cs="宋体"/>
                <w:b/>
                <w:color w:val="auto"/>
                <w:sz w:val="21"/>
                <w:szCs w:val="21"/>
                <w:highlight w:val="none"/>
                <w:lang w:eastAsia="zh-CN"/>
              </w:rPr>
              <w:t>），</w:t>
            </w:r>
            <w:r>
              <w:rPr>
                <w:rFonts w:hint="eastAsia" w:ascii="宋体" w:hAnsi="宋体" w:cs="宋体"/>
                <w:b/>
                <w:color w:val="auto"/>
                <w:sz w:val="21"/>
                <w:szCs w:val="21"/>
                <w:highlight w:val="none"/>
                <w:lang w:val="en-US" w:eastAsia="zh-CN"/>
              </w:rPr>
              <w:t>最终按实际成交价结算，此项费用包含在响应报价中，不单独立项</w:t>
            </w:r>
          </w:p>
          <w:p w14:paraId="20FE7D6D">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2.供应商无须编制已标价的工程量清单，结算时各单价直接将预算价按照成交下浮率（特指实际下浮率，安全文明措施费、暂列金额、专业工程暂估价等不可竞争费用不下浮）同步下浮执行。结算时以审计后的实际工程量为准，按实结算。</w:t>
            </w:r>
          </w:p>
          <w:p w14:paraId="10B74C2D">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3.各供应商应慎重报价，不得恶意降价，若供应商存在因报价过低无法履约或拒绝缴纳履约保证金或成交后无正当理由拒签合同等恶意竞争行为，取消其成交资格，采购人将上报监管部门，进行不良行为公示。</w:t>
            </w:r>
          </w:p>
          <w:p w14:paraId="22F9BE57">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4.本工程清单中列明的暂列金额、专业工程暂估价不下浮，由采购人控制使用。</w:t>
            </w:r>
          </w:p>
          <w:p w14:paraId="29D965A9">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5.本工程中的所有专业施工项目必须由采购人审核把关。</w:t>
            </w:r>
          </w:p>
          <w:p w14:paraId="17E4C6C3">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6.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lang w:val="en-US" w:eastAsia="zh-CN"/>
              </w:rPr>
              <w:t>并报上级监管部门</w:t>
            </w:r>
            <w:r>
              <w:rPr>
                <w:rFonts w:hint="eastAsia" w:ascii="宋体" w:hAnsi="宋体" w:cs="宋体"/>
                <w:color w:val="auto"/>
                <w:sz w:val="22"/>
                <w:szCs w:val="22"/>
                <w:highlight w:val="none"/>
              </w:rPr>
              <w:t>。</w:t>
            </w:r>
          </w:p>
          <w:p w14:paraId="05588FA5">
            <w:pPr>
              <w:pStyle w:val="65"/>
              <w:keepNext w:val="0"/>
              <w:keepLines w:val="0"/>
              <w:spacing w:before="73" w:after="0" w:line="288"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7.本项目实施时，采购人有权根据实际情况决定清单中部分工程内容是否实施，成交人须无条件配合。</w:t>
            </w:r>
          </w:p>
        </w:tc>
      </w:tr>
      <w:tr w14:paraId="755E8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1008" w:type="dxa"/>
            <w:noWrap w:val="0"/>
            <w:vAlign w:val="center"/>
          </w:tcPr>
          <w:p w14:paraId="78295D14">
            <w:pPr>
              <w:spacing w:before="73" w:line="288" w:lineRule="auto"/>
              <w:jc w:val="center"/>
              <w:rPr>
                <w:rFonts w:ascii="宋体" w:hAnsi="宋体" w:cs="宋体"/>
                <w:b/>
                <w:color w:val="auto"/>
                <w:sz w:val="22"/>
                <w:szCs w:val="22"/>
                <w:highlight w:val="none"/>
              </w:rPr>
            </w:pPr>
            <w:r>
              <w:rPr>
                <w:rFonts w:hint="eastAsia" w:ascii="宋体" w:hAnsi="宋体" w:cs="宋体"/>
                <w:b/>
                <w:color w:val="auto"/>
                <w:sz w:val="22"/>
                <w:szCs w:val="22"/>
                <w:highlight w:val="none"/>
              </w:rPr>
              <w:t>11.2</w:t>
            </w:r>
          </w:p>
        </w:tc>
        <w:tc>
          <w:tcPr>
            <w:tcW w:w="8397" w:type="dxa"/>
            <w:gridSpan w:val="2"/>
            <w:noWrap w:val="0"/>
          </w:tcPr>
          <w:p w14:paraId="0A76AD8E">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本竞争性磋商文件中设置类似工程业绩的，类似工程业绩的真实性由采购人负责核实。经查实供应商类似业绩弄虚作假的，</w:t>
            </w:r>
            <w:r>
              <w:rPr>
                <w:rFonts w:hint="eastAsia" w:ascii="宋体" w:hAnsi="宋体" w:cs="宋体"/>
                <w:bCs/>
                <w:color w:val="auto"/>
                <w:sz w:val="22"/>
                <w:szCs w:val="22"/>
                <w:highlight w:val="none"/>
              </w:rPr>
              <w:t>采购人将上报监管部门，进行不良行为公示。</w:t>
            </w:r>
          </w:p>
        </w:tc>
      </w:tr>
      <w:tr w14:paraId="53F38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1008" w:type="dxa"/>
            <w:noWrap w:val="0"/>
            <w:vAlign w:val="center"/>
          </w:tcPr>
          <w:p w14:paraId="7E229009">
            <w:pPr>
              <w:spacing w:before="73" w:line="288" w:lineRule="auto"/>
              <w:jc w:val="center"/>
              <w:rPr>
                <w:rFonts w:ascii="宋体" w:hAnsi="宋体" w:cs="宋体"/>
                <w:b/>
                <w:color w:val="auto"/>
                <w:sz w:val="22"/>
                <w:szCs w:val="22"/>
                <w:highlight w:val="none"/>
              </w:rPr>
            </w:pPr>
            <w:r>
              <w:rPr>
                <w:rFonts w:hint="eastAsia" w:ascii="宋体" w:hAnsi="宋体" w:cs="宋体"/>
                <w:b/>
                <w:color w:val="auto"/>
                <w:sz w:val="22"/>
                <w:szCs w:val="22"/>
                <w:highlight w:val="none"/>
              </w:rPr>
              <w:t>11.3</w:t>
            </w:r>
          </w:p>
        </w:tc>
        <w:tc>
          <w:tcPr>
            <w:tcW w:w="8397" w:type="dxa"/>
            <w:gridSpan w:val="2"/>
            <w:noWrap w:val="0"/>
            <w:vAlign w:val="center"/>
          </w:tcPr>
          <w:p w14:paraId="40F9A5E0">
            <w:pPr>
              <w:spacing w:before="73" w:line="288" w:lineRule="auto"/>
              <w:jc w:val="left"/>
              <w:rPr>
                <w:rFonts w:ascii="宋体" w:hAnsi="宋体" w:cs="宋体"/>
                <w:color w:val="auto"/>
                <w:sz w:val="22"/>
                <w:szCs w:val="22"/>
                <w:highlight w:val="none"/>
              </w:rPr>
            </w:pPr>
            <w:r>
              <w:rPr>
                <w:rFonts w:hint="eastAsia" w:ascii="宋体" w:hAnsi="宋体" w:cs="宋体"/>
                <w:color w:val="auto"/>
                <w:sz w:val="22"/>
                <w:szCs w:val="22"/>
                <w:highlight w:val="none"/>
              </w:rPr>
              <w:t>类似工程业绩证明材料：中标（成交）通知书（直接发包通知书）、合同协议书，以及竣（完）工验收证明资料（或其他证明项目完成的佐证资料）。</w:t>
            </w:r>
          </w:p>
          <w:p w14:paraId="5DBB311C">
            <w:pPr>
              <w:spacing w:before="73" w:line="288" w:lineRule="auto"/>
              <w:jc w:val="left"/>
              <w:rPr>
                <w:rFonts w:ascii="宋体" w:hAnsi="宋体" w:cs="宋体"/>
                <w:color w:val="auto"/>
                <w:sz w:val="22"/>
                <w:szCs w:val="22"/>
                <w:highlight w:val="none"/>
              </w:rPr>
            </w:pPr>
            <w:r>
              <w:rPr>
                <w:rFonts w:hint="eastAsia" w:ascii="宋体" w:hAnsi="宋体" w:cs="宋体"/>
                <w:color w:val="auto"/>
                <w:sz w:val="22"/>
                <w:szCs w:val="22"/>
                <w:highlight w:val="none"/>
              </w:rPr>
              <w:t>以上材料缺一不可。</w:t>
            </w:r>
          </w:p>
          <w:p w14:paraId="4A2E7B5E">
            <w:pPr>
              <w:spacing w:before="73" w:line="288" w:lineRule="auto"/>
              <w:jc w:val="left"/>
              <w:rPr>
                <w:rFonts w:ascii="宋体" w:hAnsi="宋体" w:cs="宋体"/>
                <w:color w:val="auto"/>
                <w:sz w:val="22"/>
                <w:szCs w:val="22"/>
                <w:highlight w:val="none"/>
              </w:rPr>
            </w:pPr>
            <w:r>
              <w:rPr>
                <w:rFonts w:hint="eastAsia" w:ascii="宋体" w:hAnsi="宋体" w:cs="宋体"/>
                <w:color w:val="auto"/>
                <w:sz w:val="22"/>
                <w:szCs w:val="22"/>
                <w:highlight w:val="none"/>
              </w:rPr>
              <w:t>①当业绩证明材料中载明的相关指标不一致时，以数值小的为准。</w:t>
            </w:r>
          </w:p>
          <w:p w14:paraId="4F54A8C8">
            <w:pPr>
              <w:spacing w:before="73" w:line="288" w:lineRule="auto"/>
              <w:jc w:val="left"/>
              <w:rPr>
                <w:rFonts w:ascii="宋体" w:hAnsi="宋体" w:cs="宋体"/>
                <w:color w:val="auto"/>
                <w:sz w:val="22"/>
                <w:szCs w:val="22"/>
                <w:highlight w:val="none"/>
              </w:rPr>
            </w:pPr>
            <w:r>
              <w:rPr>
                <w:rFonts w:hint="eastAsia" w:ascii="宋体" w:hAnsi="宋体" w:cs="宋体"/>
                <w:color w:val="auto"/>
                <w:sz w:val="22"/>
                <w:szCs w:val="22"/>
                <w:highlight w:val="none"/>
              </w:rPr>
              <w:t>②若上述业绩证明材料均不能体现竞争性磋商文件明确的指标的，需提供“其它辅助证明材料”，“其它辅助证明材料”指：“加盖该业绩建设单位公章的书面证明材料”。如上述业绩证明材料能体现竞争性磋商文件明确的指标，但又另行提供“其它辅助证明材料”的，该“其它辅助证明材料”不予认可。</w:t>
            </w:r>
          </w:p>
        </w:tc>
      </w:tr>
      <w:tr w14:paraId="5B2D2C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2" w:hRule="atLeast"/>
        </w:trPr>
        <w:tc>
          <w:tcPr>
            <w:tcW w:w="1008" w:type="dxa"/>
            <w:noWrap w:val="0"/>
            <w:vAlign w:val="center"/>
          </w:tcPr>
          <w:p w14:paraId="6F8DA67D">
            <w:pPr>
              <w:spacing w:before="73" w:line="288" w:lineRule="auto"/>
              <w:jc w:val="center"/>
              <w:rPr>
                <w:rFonts w:ascii="宋体" w:hAnsi="宋体" w:cs="宋体"/>
                <w:b/>
                <w:color w:val="auto"/>
                <w:sz w:val="22"/>
                <w:szCs w:val="22"/>
                <w:highlight w:val="none"/>
              </w:rPr>
            </w:pPr>
            <w:bookmarkStart w:id="28" w:name="_Toc426469871"/>
            <w:bookmarkStart w:id="29" w:name="_Toc367784995"/>
            <w:bookmarkStart w:id="30" w:name="_Toc468783589"/>
            <w:r>
              <w:rPr>
                <w:rFonts w:hint="eastAsia" w:ascii="宋体" w:hAnsi="宋体" w:cs="宋体"/>
                <w:b/>
                <w:color w:val="auto"/>
                <w:sz w:val="22"/>
                <w:szCs w:val="22"/>
                <w:highlight w:val="none"/>
              </w:rPr>
              <w:t>11.4</w:t>
            </w:r>
          </w:p>
        </w:tc>
        <w:tc>
          <w:tcPr>
            <w:tcW w:w="8397" w:type="dxa"/>
            <w:gridSpan w:val="2"/>
            <w:noWrap w:val="0"/>
            <w:vAlign w:val="center"/>
          </w:tcPr>
          <w:p w14:paraId="6C95689F">
            <w:pPr>
              <w:spacing w:before="73" w:line="288" w:lineRule="auto"/>
              <w:jc w:val="left"/>
              <w:rPr>
                <w:rFonts w:ascii="宋体" w:hAnsi="宋体" w:cs="宋体"/>
                <w:b/>
                <w:bCs/>
                <w:color w:val="auto"/>
                <w:sz w:val="22"/>
                <w:szCs w:val="22"/>
                <w:highlight w:val="none"/>
              </w:rPr>
            </w:pPr>
            <w:r>
              <w:rPr>
                <w:rFonts w:hint="eastAsia" w:ascii="宋体" w:hAnsi="宋体" w:cs="宋体"/>
                <w:b/>
                <w:bCs/>
                <w:color w:val="auto"/>
                <w:sz w:val="22"/>
                <w:szCs w:val="22"/>
                <w:highlight w:val="none"/>
              </w:rPr>
              <w:t>动态考核:评标当日，供应商响应所用资质核查结果为不达标的，视为供应商资质条件不符合国家有关规定，或不满足采购文件规定的资格条件。中标公示期间，中标候选人投标所用资质核查结果为不达标的，视为其资质条件不符合国家有关规定。动态监管不合格资质查询网址：</w:t>
            </w:r>
          </w:p>
          <w:p w14:paraId="30DB2E80">
            <w:pPr>
              <w:spacing w:before="73" w:line="288" w:lineRule="auto"/>
              <w:jc w:val="left"/>
              <w:rPr>
                <w:rFonts w:ascii="宋体" w:hAnsi="宋体" w:cs="宋体"/>
                <w:color w:val="auto"/>
                <w:sz w:val="22"/>
                <w:szCs w:val="22"/>
                <w:highlight w:val="none"/>
              </w:rPr>
            </w:pPr>
            <w:r>
              <w:rPr>
                <w:rFonts w:hint="eastAsia" w:ascii="宋体" w:hAnsi="宋体" w:cs="宋体"/>
                <w:b/>
                <w:bCs/>
                <w:color w:val="auto"/>
                <w:sz w:val="22"/>
                <w:szCs w:val="22"/>
                <w:highlight w:val="none"/>
              </w:rPr>
              <w:t>https://zhfwpt.jsszfhcxjst.jiangsu.gov.cn:12443/ms/admin/#/open/dthc-list</w:t>
            </w:r>
          </w:p>
        </w:tc>
      </w:tr>
      <w:tr w14:paraId="72AE0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noWrap w:val="0"/>
            <w:vAlign w:val="center"/>
          </w:tcPr>
          <w:p w14:paraId="6D1A1CF4">
            <w:pPr>
              <w:spacing w:before="73" w:line="288" w:lineRule="auto"/>
              <w:jc w:val="center"/>
              <w:rPr>
                <w:rFonts w:ascii="宋体" w:hAnsi="宋体" w:cs="宋体"/>
                <w:b/>
                <w:color w:val="auto"/>
                <w:sz w:val="22"/>
                <w:szCs w:val="22"/>
                <w:highlight w:val="none"/>
              </w:rPr>
            </w:pPr>
            <w:r>
              <w:rPr>
                <w:rFonts w:hint="eastAsia" w:ascii="宋体" w:hAnsi="宋体" w:cs="宋体"/>
                <w:b/>
                <w:color w:val="auto"/>
                <w:sz w:val="22"/>
                <w:szCs w:val="22"/>
                <w:highlight w:val="none"/>
              </w:rPr>
              <w:t>11.5</w:t>
            </w:r>
          </w:p>
        </w:tc>
        <w:tc>
          <w:tcPr>
            <w:tcW w:w="8397" w:type="dxa"/>
            <w:gridSpan w:val="2"/>
            <w:noWrap w:val="0"/>
            <w:vAlign w:val="center"/>
          </w:tcPr>
          <w:p w14:paraId="2E5F53BA">
            <w:pPr>
              <w:spacing w:before="73" w:line="288" w:lineRule="auto"/>
              <w:jc w:val="left"/>
              <w:rPr>
                <w:rFonts w:ascii="宋体" w:hAnsi="宋体" w:cs="宋体"/>
                <w:color w:val="auto"/>
                <w:sz w:val="22"/>
                <w:szCs w:val="22"/>
                <w:highlight w:val="none"/>
              </w:rPr>
            </w:pPr>
            <w:r>
              <w:rPr>
                <w:rFonts w:hint="eastAsia" w:ascii="宋体" w:hAnsi="宋体" w:cs="宋体"/>
                <w:color w:val="auto"/>
                <w:sz w:val="22"/>
                <w:szCs w:val="22"/>
                <w:highlight w:val="none"/>
              </w:rPr>
              <w:t>构成竞争性磋商文件组成部分的“技术标准和要求”、“合同条款及格式”等章节中出现的措辞“采购方”和“供应方”，在采购阶段应当分别按“采购人”和“供应商”进行理解。竞争性磋商文件中的“项目负责人”和“项目经理”为同一意思。</w:t>
            </w:r>
          </w:p>
        </w:tc>
      </w:tr>
    </w:tbl>
    <w:p w14:paraId="1221AE56">
      <w:pPr>
        <w:pStyle w:val="283"/>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1.总则</w:t>
      </w:r>
      <w:bookmarkEnd w:id="28"/>
      <w:bookmarkEnd w:id="29"/>
      <w:bookmarkEnd w:id="30"/>
    </w:p>
    <w:p w14:paraId="740C655A">
      <w:pPr>
        <w:pStyle w:val="286"/>
        <w:spacing w:before="0" w:after="0" w:line="360" w:lineRule="auto"/>
        <w:jc w:val="left"/>
        <w:rPr>
          <w:rFonts w:ascii="宋体" w:hAnsi="宋体" w:cs="宋体"/>
          <w:b/>
          <w:color w:val="auto"/>
          <w:sz w:val="24"/>
          <w:szCs w:val="24"/>
          <w:highlight w:val="none"/>
        </w:rPr>
      </w:pPr>
      <w:bookmarkStart w:id="31" w:name="_Toc246996176"/>
      <w:bookmarkStart w:id="32" w:name="_Toc426469872"/>
      <w:bookmarkStart w:id="33" w:name="_Toc468783590"/>
      <w:bookmarkStart w:id="34" w:name="_Toc152045530"/>
      <w:bookmarkStart w:id="35" w:name="_Toc383438593"/>
      <w:bookmarkStart w:id="36" w:name="_Toc144974498"/>
      <w:bookmarkStart w:id="37" w:name="_Toc343525506"/>
      <w:bookmarkStart w:id="38" w:name="_Toc152042306"/>
      <w:bookmarkStart w:id="39" w:name="_Toc247085690"/>
      <w:bookmarkStart w:id="40" w:name="_Toc246996919"/>
      <w:bookmarkStart w:id="41" w:name="_Toc179632547"/>
      <w:bookmarkStart w:id="42" w:name="_Toc367784996"/>
      <w:r>
        <w:rPr>
          <w:rFonts w:hint="eastAsia" w:ascii="宋体" w:hAnsi="宋体" w:cs="宋体"/>
          <w:b/>
          <w:color w:val="auto"/>
          <w:sz w:val="24"/>
          <w:szCs w:val="24"/>
          <w:highlight w:val="none"/>
        </w:rPr>
        <w:t>1.1 项目概况</w:t>
      </w:r>
      <w:bookmarkEnd w:id="31"/>
      <w:bookmarkEnd w:id="32"/>
      <w:bookmarkEnd w:id="33"/>
      <w:bookmarkEnd w:id="34"/>
      <w:bookmarkEnd w:id="35"/>
      <w:bookmarkEnd w:id="36"/>
      <w:bookmarkEnd w:id="37"/>
      <w:bookmarkEnd w:id="38"/>
      <w:bookmarkEnd w:id="39"/>
      <w:bookmarkEnd w:id="40"/>
      <w:bookmarkEnd w:id="41"/>
    </w:p>
    <w:p w14:paraId="56D2E49B">
      <w:pPr>
        <w:spacing w:line="360" w:lineRule="auto"/>
        <w:jc w:val="left"/>
        <w:rPr>
          <w:rFonts w:ascii="宋体" w:hAnsi="宋体" w:cs="宋体"/>
          <w:color w:val="auto"/>
          <w:highlight w:val="none"/>
        </w:rPr>
      </w:pPr>
      <w:r>
        <w:rPr>
          <w:rFonts w:hint="eastAsia" w:ascii="宋体" w:hAnsi="宋体" w:cs="宋体"/>
          <w:color w:val="auto"/>
          <w:highlight w:val="none"/>
        </w:rPr>
        <w:t>1.1.1根据《中华人民共和国政府采购法》等有关法律、法规和规章的规定，本采购项目已具备采购条件，现对本项目进行竞争性磋商招标。</w:t>
      </w:r>
    </w:p>
    <w:p w14:paraId="4D572B94">
      <w:pPr>
        <w:spacing w:line="360" w:lineRule="auto"/>
        <w:jc w:val="left"/>
        <w:rPr>
          <w:rFonts w:ascii="宋体" w:hAnsi="宋体" w:cs="宋体"/>
          <w:color w:val="auto"/>
          <w:highlight w:val="none"/>
        </w:rPr>
      </w:pPr>
      <w:r>
        <w:rPr>
          <w:rFonts w:hint="eastAsia" w:ascii="宋体" w:hAnsi="宋体" w:cs="宋体"/>
          <w:color w:val="auto"/>
          <w:highlight w:val="none"/>
        </w:rPr>
        <w:t>1.1.2 采购人：见供应商须知前附表。</w:t>
      </w:r>
    </w:p>
    <w:p w14:paraId="7C7A526B">
      <w:pPr>
        <w:spacing w:line="360" w:lineRule="auto"/>
        <w:jc w:val="left"/>
        <w:rPr>
          <w:rFonts w:ascii="宋体" w:hAnsi="宋体" w:cs="宋体"/>
          <w:color w:val="auto"/>
          <w:highlight w:val="none"/>
        </w:rPr>
      </w:pPr>
      <w:r>
        <w:rPr>
          <w:rFonts w:hint="eastAsia" w:ascii="宋体" w:hAnsi="宋体" w:cs="宋体"/>
          <w:color w:val="auto"/>
          <w:highlight w:val="none"/>
        </w:rPr>
        <w:t>1.1.3 采购代理机构：见供应商须知前附表。</w:t>
      </w:r>
    </w:p>
    <w:p w14:paraId="567F3C9A">
      <w:pPr>
        <w:spacing w:line="360" w:lineRule="auto"/>
        <w:jc w:val="left"/>
        <w:rPr>
          <w:rFonts w:ascii="宋体" w:hAnsi="宋体" w:cs="宋体"/>
          <w:color w:val="auto"/>
          <w:highlight w:val="none"/>
        </w:rPr>
      </w:pPr>
      <w:r>
        <w:rPr>
          <w:rFonts w:hint="eastAsia" w:ascii="宋体" w:hAnsi="宋体" w:cs="宋体"/>
          <w:color w:val="auto"/>
          <w:highlight w:val="none"/>
        </w:rPr>
        <w:t>1.1.4 项目名称及项目编号：见供应商须知前附表。</w:t>
      </w:r>
    </w:p>
    <w:p w14:paraId="1AA3EEDA">
      <w:pPr>
        <w:pStyle w:val="286"/>
        <w:spacing w:before="0" w:after="0" w:line="360" w:lineRule="auto"/>
        <w:jc w:val="left"/>
        <w:rPr>
          <w:rFonts w:ascii="宋体" w:hAnsi="宋体" w:cs="宋体"/>
          <w:b/>
          <w:color w:val="auto"/>
          <w:sz w:val="24"/>
          <w:szCs w:val="24"/>
          <w:highlight w:val="none"/>
        </w:rPr>
      </w:pPr>
      <w:bookmarkStart w:id="43" w:name="_Toc247085691"/>
      <w:bookmarkStart w:id="44" w:name="_Toc152045531"/>
      <w:bookmarkStart w:id="45" w:name="_Toc152042307"/>
      <w:bookmarkStart w:id="46" w:name="_Toc246996920"/>
      <w:bookmarkStart w:id="47" w:name="_Toc179632548"/>
      <w:bookmarkStart w:id="48" w:name="_Toc383438594"/>
      <w:bookmarkStart w:id="49" w:name="_Toc246996177"/>
      <w:bookmarkStart w:id="50" w:name="_Toc343525507"/>
      <w:bookmarkStart w:id="51" w:name="_Toc426469873"/>
      <w:bookmarkStart w:id="52" w:name="_Toc144974499"/>
      <w:bookmarkStart w:id="53" w:name="_Toc468783591"/>
      <w:r>
        <w:rPr>
          <w:rFonts w:hint="eastAsia" w:ascii="宋体" w:hAnsi="宋体" w:cs="宋体"/>
          <w:b/>
          <w:color w:val="auto"/>
          <w:sz w:val="24"/>
          <w:szCs w:val="24"/>
          <w:highlight w:val="none"/>
        </w:rPr>
        <w:t>1.2 资金来源和落实情况</w:t>
      </w:r>
      <w:bookmarkEnd w:id="43"/>
      <w:bookmarkEnd w:id="44"/>
      <w:bookmarkEnd w:id="45"/>
      <w:bookmarkEnd w:id="46"/>
      <w:bookmarkEnd w:id="47"/>
      <w:bookmarkEnd w:id="48"/>
      <w:bookmarkEnd w:id="49"/>
      <w:bookmarkEnd w:id="50"/>
      <w:bookmarkEnd w:id="51"/>
      <w:bookmarkEnd w:id="52"/>
      <w:r>
        <w:rPr>
          <w:rFonts w:hint="eastAsia" w:ascii="宋体" w:hAnsi="宋体" w:cs="宋体"/>
          <w:b/>
          <w:color w:val="auto"/>
          <w:sz w:val="24"/>
          <w:szCs w:val="24"/>
          <w:highlight w:val="none"/>
        </w:rPr>
        <w:t>及付款方式</w:t>
      </w:r>
      <w:bookmarkEnd w:id="53"/>
    </w:p>
    <w:p w14:paraId="7D33A24D">
      <w:pPr>
        <w:spacing w:line="360" w:lineRule="auto"/>
        <w:jc w:val="left"/>
        <w:rPr>
          <w:rFonts w:ascii="宋体" w:hAnsi="宋体" w:cs="宋体"/>
          <w:color w:val="auto"/>
          <w:highlight w:val="none"/>
        </w:rPr>
      </w:pPr>
      <w:r>
        <w:rPr>
          <w:rFonts w:hint="eastAsia" w:ascii="宋体" w:hAnsi="宋体" w:cs="宋体"/>
          <w:color w:val="auto"/>
          <w:highlight w:val="none"/>
        </w:rPr>
        <w:t>1.2.1 资金来源及出资比例：见供应商须知前附表。</w:t>
      </w:r>
    </w:p>
    <w:p w14:paraId="100EFCEA">
      <w:pPr>
        <w:spacing w:line="360" w:lineRule="auto"/>
        <w:jc w:val="left"/>
        <w:rPr>
          <w:rFonts w:ascii="宋体" w:hAnsi="宋体" w:cs="宋体"/>
          <w:color w:val="auto"/>
          <w:highlight w:val="none"/>
        </w:rPr>
      </w:pPr>
      <w:r>
        <w:rPr>
          <w:rFonts w:hint="eastAsia" w:ascii="宋体" w:hAnsi="宋体" w:cs="宋体"/>
          <w:color w:val="auto"/>
          <w:highlight w:val="none"/>
        </w:rPr>
        <w:t>1.2.2 资金落实情况：见供应商须知前附表。</w:t>
      </w:r>
    </w:p>
    <w:p w14:paraId="3224BD9F">
      <w:pPr>
        <w:spacing w:line="360" w:lineRule="auto"/>
        <w:jc w:val="left"/>
        <w:rPr>
          <w:rFonts w:ascii="宋体" w:hAnsi="宋体" w:cs="宋体"/>
          <w:color w:val="auto"/>
          <w:highlight w:val="none"/>
        </w:rPr>
      </w:pPr>
      <w:r>
        <w:rPr>
          <w:rFonts w:hint="eastAsia" w:ascii="宋体" w:hAnsi="宋体" w:cs="宋体"/>
          <w:color w:val="auto"/>
          <w:highlight w:val="none"/>
        </w:rPr>
        <w:t>1.2.3 付款方式：见供应商须知前附表。</w:t>
      </w:r>
    </w:p>
    <w:p w14:paraId="56BB2EAD">
      <w:pPr>
        <w:pStyle w:val="286"/>
        <w:spacing w:before="0" w:after="0" w:line="360" w:lineRule="auto"/>
        <w:jc w:val="left"/>
        <w:rPr>
          <w:rFonts w:ascii="宋体" w:hAnsi="宋体" w:cs="宋体"/>
          <w:b/>
          <w:color w:val="auto"/>
          <w:sz w:val="24"/>
          <w:szCs w:val="24"/>
          <w:highlight w:val="none"/>
        </w:rPr>
      </w:pPr>
      <w:bookmarkStart w:id="54" w:name="_Toc383438595"/>
      <w:bookmarkStart w:id="55" w:name="_Toc246996921"/>
      <w:bookmarkStart w:id="56" w:name="_Toc247085692"/>
      <w:bookmarkStart w:id="57" w:name="_Toc179632549"/>
      <w:bookmarkStart w:id="58" w:name="_Toc246996178"/>
      <w:bookmarkStart w:id="59" w:name="_Toc152045532"/>
      <w:bookmarkStart w:id="60" w:name="_Toc343525508"/>
      <w:bookmarkStart w:id="61" w:name="_Toc152042308"/>
      <w:bookmarkStart w:id="62" w:name="_Toc144974500"/>
      <w:bookmarkStart w:id="63" w:name="_Toc426469874"/>
      <w:bookmarkStart w:id="64" w:name="_Toc468783592"/>
      <w:r>
        <w:rPr>
          <w:rFonts w:hint="eastAsia" w:ascii="宋体" w:hAnsi="宋体" w:cs="宋体"/>
          <w:b/>
          <w:color w:val="auto"/>
          <w:sz w:val="24"/>
          <w:szCs w:val="24"/>
          <w:highlight w:val="none"/>
        </w:rPr>
        <w:t xml:space="preserve">1.3 </w:t>
      </w:r>
      <w:bookmarkEnd w:id="54"/>
      <w:bookmarkEnd w:id="55"/>
      <w:bookmarkEnd w:id="56"/>
      <w:bookmarkEnd w:id="57"/>
      <w:bookmarkEnd w:id="58"/>
      <w:bookmarkEnd w:id="59"/>
      <w:bookmarkEnd w:id="60"/>
      <w:bookmarkEnd w:id="61"/>
      <w:bookmarkEnd w:id="62"/>
      <w:r>
        <w:rPr>
          <w:rFonts w:hint="eastAsia" w:ascii="宋体" w:hAnsi="宋体" w:cs="宋体"/>
          <w:b/>
          <w:color w:val="auto"/>
          <w:sz w:val="24"/>
          <w:szCs w:val="24"/>
          <w:highlight w:val="none"/>
        </w:rPr>
        <w:t>采购范围</w:t>
      </w:r>
      <w:bookmarkEnd w:id="63"/>
      <w:r>
        <w:rPr>
          <w:rFonts w:hint="eastAsia" w:ascii="宋体" w:hAnsi="宋体" w:cs="宋体"/>
          <w:b/>
          <w:color w:val="auto"/>
          <w:sz w:val="24"/>
          <w:szCs w:val="24"/>
          <w:highlight w:val="none"/>
        </w:rPr>
        <w:t>与合同工期</w:t>
      </w:r>
      <w:bookmarkEnd w:id="64"/>
    </w:p>
    <w:p w14:paraId="31303ECF">
      <w:pPr>
        <w:spacing w:line="360" w:lineRule="auto"/>
        <w:jc w:val="left"/>
        <w:rPr>
          <w:rFonts w:ascii="宋体" w:hAnsi="宋体" w:cs="宋体"/>
          <w:color w:val="auto"/>
          <w:highlight w:val="none"/>
        </w:rPr>
      </w:pPr>
      <w:r>
        <w:rPr>
          <w:rFonts w:hint="eastAsia" w:ascii="宋体" w:hAnsi="宋体" w:cs="宋体"/>
          <w:color w:val="auto"/>
          <w:highlight w:val="none"/>
        </w:rPr>
        <w:t>1.3.1 采购范围：见供应商须知前附表。</w:t>
      </w:r>
    </w:p>
    <w:p w14:paraId="041CF1F2">
      <w:pPr>
        <w:spacing w:line="360" w:lineRule="auto"/>
        <w:jc w:val="left"/>
        <w:rPr>
          <w:rFonts w:ascii="宋体" w:hAnsi="宋体" w:cs="宋体"/>
          <w:color w:val="auto"/>
          <w:highlight w:val="none"/>
        </w:rPr>
      </w:pPr>
      <w:r>
        <w:rPr>
          <w:rFonts w:hint="eastAsia" w:ascii="宋体" w:hAnsi="宋体" w:cs="宋体"/>
          <w:color w:val="auto"/>
          <w:highlight w:val="none"/>
        </w:rPr>
        <w:t>1.3.2 合同工期：见供应商须知前附表。</w:t>
      </w:r>
    </w:p>
    <w:p w14:paraId="65317027">
      <w:pPr>
        <w:spacing w:line="360" w:lineRule="auto"/>
        <w:jc w:val="left"/>
        <w:rPr>
          <w:rFonts w:ascii="宋体" w:hAnsi="宋体" w:cs="宋体"/>
          <w:color w:val="auto"/>
          <w:highlight w:val="none"/>
        </w:rPr>
      </w:pPr>
      <w:r>
        <w:rPr>
          <w:rFonts w:hint="eastAsia" w:ascii="宋体" w:hAnsi="宋体" w:cs="宋体"/>
          <w:color w:val="auto"/>
          <w:highlight w:val="none"/>
        </w:rPr>
        <w:t>1.3.3 质量要求：见供应商须知前附表。</w:t>
      </w:r>
    </w:p>
    <w:p w14:paraId="252EDAE7">
      <w:pPr>
        <w:pStyle w:val="286"/>
        <w:spacing w:before="0" w:after="0" w:line="360" w:lineRule="auto"/>
        <w:jc w:val="left"/>
        <w:rPr>
          <w:rFonts w:ascii="宋体" w:hAnsi="宋体" w:cs="宋体"/>
          <w:b/>
          <w:color w:val="auto"/>
          <w:sz w:val="24"/>
          <w:szCs w:val="24"/>
          <w:highlight w:val="none"/>
        </w:rPr>
      </w:pPr>
      <w:bookmarkStart w:id="65" w:name="_Toc152042310"/>
      <w:bookmarkStart w:id="66" w:name="_Toc144974502"/>
      <w:bookmarkStart w:id="67" w:name="_Toc246996179"/>
      <w:bookmarkStart w:id="68" w:name="_Toc247085693"/>
      <w:bookmarkStart w:id="69" w:name="_Toc468783593"/>
      <w:bookmarkStart w:id="70" w:name="_Toc343525509"/>
      <w:bookmarkStart w:id="71" w:name="_Toc246996922"/>
      <w:bookmarkStart w:id="72" w:name="_Toc426469875"/>
      <w:bookmarkStart w:id="73" w:name="_Toc179632551"/>
      <w:bookmarkStart w:id="74" w:name="_Toc383438596"/>
      <w:bookmarkStart w:id="75" w:name="_Toc152045534"/>
      <w:r>
        <w:rPr>
          <w:rFonts w:hint="eastAsia" w:ascii="宋体" w:hAnsi="宋体" w:cs="宋体"/>
          <w:b/>
          <w:color w:val="auto"/>
          <w:sz w:val="24"/>
          <w:szCs w:val="24"/>
          <w:highlight w:val="none"/>
        </w:rPr>
        <w:t>1.4 供应商资格要求</w:t>
      </w:r>
      <w:bookmarkEnd w:id="65"/>
      <w:bookmarkEnd w:id="66"/>
      <w:bookmarkEnd w:id="67"/>
      <w:bookmarkEnd w:id="68"/>
      <w:bookmarkEnd w:id="69"/>
      <w:bookmarkEnd w:id="70"/>
      <w:bookmarkEnd w:id="71"/>
      <w:bookmarkEnd w:id="72"/>
      <w:bookmarkEnd w:id="73"/>
      <w:bookmarkEnd w:id="74"/>
      <w:bookmarkEnd w:id="75"/>
    </w:p>
    <w:p w14:paraId="5AC63FDC">
      <w:pPr>
        <w:spacing w:line="360" w:lineRule="auto"/>
        <w:jc w:val="left"/>
        <w:rPr>
          <w:rFonts w:ascii="宋体" w:hAnsi="宋体" w:cs="宋体"/>
          <w:color w:val="auto"/>
          <w:highlight w:val="none"/>
        </w:rPr>
      </w:pPr>
      <w:r>
        <w:rPr>
          <w:rFonts w:hint="eastAsia" w:ascii="宋体" w:hAnsi="宋体" w:cs="宋体"/>
          <w:color w:val="auto"/>
          <w:highlight w:val="none"/>
        </w:rPr>
        <w:t>1.4.1供应商参加政府采购活动应当具备下列条件：</w:t>
      </w:r>
    </w:p>
    <w:p w14:paraId="4A17181F">
      <w:pPr>
        <w:spacing w:line="360" w:lineRule="auto"/>
        <w:jc w:val="left"/>
        <w:rPr>
          <w:rFonts w:ascii="宋体" w:hAnsi="宋体" w:cs="宋体"/>
          <w:color w:val="auto"/>
          <w:highlight w:val="none"/>
        </w:rPr>
      </w:pPr>
      <w:r>
        <w:rPr>
          <w:rFonts w:hint="eastAsia" w:ascii="宋体" w:hAnsi="宋体" w:cs="宋体"/>
          <w:color w:val="auto"/>
          <w:highlight w:val="none"/>
        </w:rPr>
        <w:t>（1）具有独立承担民事责任的能力；</w:t>
      </w:r>
    </w:p>
    <w:p w14:paraId="2772A8A6">
      <w:pPr>
        <w:spacing w:line="360" w:lineRule="auto"/>
        <w:jc w:val="left"/>
        <w:rPr>
          <w:rFonts w:ascii="宋体" w:hAnsi="宋体" w:cs="宋体"/>
          <w:color w:val="auto"/>
          <w:highlight w:val="none"/>
        </w:rPr>
      </w:pPr>
      <w:r>
        <w:rPr>
          <w:rFonts w:hint="eastAsia" w:ascii="宋体" w:hAnsi="宋体" w:cs="宋体"/>
          <w:color w:val="auto"/>
          <w:highlight w:val="none"/>
        </w:rPr>
        <w:t>（2）具有良好的商业信誉和健全的财务会计制度；</w:t>
      </w:r>
    </w:p>
    <w:p w14:paraId="1B10104E">
      <w:pPr>
        <w:spacing w:line="360" w:lineRule="auto"/>
        <w:jc w:val="left"/>
        <w:rPr>
          <w:rFonts w:ascii="宋体" w:hAnsi="宋体" w:cs="宋体"/>
          <w:color w:val="auto"/>
          <w:highlight w:val="none"/>
        </w:rPr>
      </w:pPr>
      <w:r>
        <w:rPr>
          <w:rFonts w:hint="eastAsia" w:ascii="宋体" w:hAnsi="宋体" w:cs="宋体"/>
          <w:color w:val="auto"/>
          <w:highlight w:val="none"/>
        </w:rPr>
        <w:t>（3）具有履行合同所必需的设备和专业技术能力；</w:t>
      </w:r>
    </w:p>
    <w:p w14:paraId="51F97654">
      <w:pPr>
        <w:spacing w:line="360" w:lineRule="auto"/>
        <w:jc w:val="left"/>
        <w:rPr>
          <w:rFonts w:ascii="宋体" w:hAnsi="宋体" w:cs="宋体"/>
          <w:color w:val="auto"/>
          <w:highlight w:val="none"/>
        </w:rPr>
      </w:pPr>
      <w:r>
        <w:rPr>
          <w:rFonts w:hint="eastAsia" w:ascii="宋体" w:hAnsi="宋体" w:cs="宋体"/>
          <w:color w:val="auto"/>
          <w:highlight w:val="none"/>
        </w:rPr>
        <w:t>（4）有依法缴纳税收和社会保障资金的良好记录；</w:t>
      </w:r>
    </w:p>
    <w:p w14:paraId="66067E75">
      <w:pPr>
        <w:spacing w:line="360" w:lineRule="auto"/>
        <w:jc w:val="left"/>
        <w:rPr>
          <w:rFonts w:ascii="宋体" w:hAnsi="宋体" w:cs="宋体"/>
          <w:color w:val="auto"/>
          <w:highlight w:val="none"/>
        </w:rPr>
      </w:pPr>
      <w:r>
        <w:rPr>
          <w:rFonts w:hint="eastAsia" w:ascii="宋体" w:hAnsi="宋体" w:cs="宋体"/>
          <w:color w:val="auto"/>
          <w:highlight w:val="none"/>
        </w:rPr>
        <w:t>（5）参加政府采购活动前三年内，在经营活动中没有重大违法记录；</w:t>
      </w:r>
    </w:p>
    <w:p w14:paraId="5115F33C">
      <w:pPr>
        <w:spacing w:line="360" w:lineRule="auto"/>
        <w:jc w:val="left"/>
        <w:rPr>
          <w:rFonts w:ascii="宋体" w:hAnsi="宋体" w:cs="宋体"/>
          <w:color w:val="auto"/>
          <w:highlight w:val="none"/>
        </w:rPr>
      </w:pPr>
      <w:r>
        <w:rPr>
          <w:rFonts w:hint="eastAsia" w:ascii="宋体" w:hAnsi="宋体" w:cs="宋体"/>
          <w:color w:val="auto"/>
          <w:highlight w:val="none"/>
        </w:rPr>
        <w:t>（6）法律、行政法规规定的其他条件。</w:t>
      </w:r>
    </w:p>
    <w:p w14:paraId="7C6298E2">
      <w:pPr>
        <w:spacing w:line="360" w:lineRule="auto"/>
        <w:jc w:val="left"/>
        <w:rPr>
          <w:rFonts w:ascii="宋体" w:hAnsi="宋体" w:cs="宋体"/>
          <w:b/>
          <w:bCs/>
          <w:color w:val="auto"/>
          <w:highlight w:val="none"/>
        </w:rPr>
      </w:pPr>
      <w:r>
        <w:rPr>
          <w:rFonts w:hint="eastAsia" w:ascii="宋体" w:hAnsi="宋体" w:cs="宋体"/>
          <w:b/>
          <w:bCs/>
          <w:color w:val="auto"/>
          <w:highlight w:val="none"/>
        </w:rPr>
        <w:t>1.4.2本项目落实政府采购政策需满足的资格要求：本项目专门面向中小企业，供应商应为中小微企业或监狱企业或残疾人福利性单位。</w:t>
      </w:r>
    </w:p>
    <w:p w14:paraId="727AE61D">
      <w:pPr>
        <w:spacing w:line="360" w:lineRule="auto"/>
        <w:jc w:val="left"/>
        <w:rPr>
          <w:rFonts w:ascii="宋体" w:hAnsi="宋体" w:cs="宋体"/>
          <w:color w:val="auto"/>
          <w:highlight w:val="none"/>
        </w:rPr>
      </w:pPr>
      <w:r>
        <w:rPr>
          <w:rFonts w:hint="eastAsia" w:ascii="宋体" w:hAnsi="宋体" w:cs="宋体"/>
          <w:color w:val="auto"/>
          <w:highlight w:val="none"/>
        </w:rPr>
        <w:t>（1）参加报价的中小企业，应当按照《政府采购促进中小企业发展管理办法》（财库﹝2020﹞46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p>
    <w:p w14:paraId="61E7AA73">
      <w:pPr>
        <w:spacing w:line="360" w:lineRule="auto"/>
        <w:jc w:val="left"/>
        <w:rPr>
          <w:rFonts w:ascii="宋体" w:hAnsi="宋体" w:cs="宋体"/>
          <w:color w:val="auto"/>
          <w:highlight w:val="none"/>
        </w:rPr>
      </w:pPr>
      <w:r>
        <w:rPr>
          <w:rFonts w:hint="eastAsia" w:ascii="宋体" w:hAnsi="宋体" w:cs="宋体"/>
          <w:color w:val="auto"/>
          <w:highlight w:val="none"/>
        </w:rPr>
        <w:t>（2）参加报价的监狱和戒毒企业，应根据《财政部司法部关于政府采购支持监狱企业发展有关问题的通知》（财库〔2014〕68号）要求，提供由省级以上监狱管理局、戒毒管理局（含新疆生产建设兵团）出具的属于监狱企业的证明文件。</w:t>
      </w:r>
    </w:p>
    <w:p w14:paraId="1DB84DCF">
      <w:pPr>
        <w:spacing w:line="360" w:lineRule="auto"/>
        <w:jc w:val="left"/>
        <w:rPr>
          <w:rFonts w:ascii="宋体" w:hAnsi="宋体" w:cs="宋体"/>
          <w:color w:val="auto"/>
          <w:highlight w:val="none"/>
        </w:rPr>
      </w:pPr>
      <w:r>
        <w:rPr>
          <w:rFonts w:hint="eastAsia" w:ascii="宋体" w:hAnsi="宋体" w:cs="宋体"/>
          <w:color w:val="auto"/>
          <w:highlight w:val="none"/>
        </w:rPr>
        <w:t>（3）参加报价的残疾人福利性单位，应根据《关于促进残疾人就业政府采购政策的通知》（财库〔2017〕141号）要求，提供《残疾人福利性单位声明函》，格式见附件。</w:t>
      </w:r>
    </w:p>
    <w:p w14:paraId="44E7E9F8">
      <w:pPr>
        <w:spacing w:line="360" w:lineRule="auto"/>
        <w:jc w:val="left"/>
        <w:rPr>
          <w:rFonts w:ascii="宋体" w:hAnsi="宋体" w:cs="宋体"/>
          <w:color w:val="auto"/>
          <w:highlight w:val="none"/>
        </w:rPr>
      </w:pPr>
      <w:r>
        <w:rPr>
          <w:rFonts w:hint="eastAsia" w:ascii="宋体" w:hAnsi="宋体" w:cs="宋体"/>
          <w:color w:val="auto"/>
          <w:highlight w:val="none"/>
        </w:rPr>
        <w:t>（4）参照《关于印发中小企业划型标准规定的通知》（工信部联企业[2011]300号）文件，本项目采购标的所属行业为</w:t>
      </w:r>
      <w:r>
        <w:rPr>
          <w:rFonts w:hint="eastAsia" w:ascii="宋体" w:hAnsi="宋体" w:cs="宋体"/>
          <w:b/>
          <w:bCs/>
          <w:color w:val="auto"/>
          <w:highlight w:val="none"/>
          <w:u w:val="single"/>
        </w:rPr>
        <w:t>建筑业</w:t>
      </w:r>
      <w:r>
        <w:rPr>
          <w:rFonts w:hint="eastAsia" w:ascii="宋体" w:hAnsi="宋体" w:cs="宋体"/>
          <w:color w:val="auto"/>
          <w:highlight w:val="none"/>
        </w:rPr>
        <w:t>。</w:t>
      </w:r>
    </w:p>
    <w:p w14:paraId="62AB4112">
      <w:pPr>
        <w:spacing w:line="360" w:lineRule="auto"/>
        <w:ind w:right="-161" w:rightChars="-67"/>
        <w:jc w:val="left"/>
        <w:rPr>
          <w:rFonts w:ascii="宋体" w:hAnsi="宋体" w:cs="宋体"/>
          <w:color w:val="auto"/>
          <w:highlight w:val="none"/>
        </w:rPr>
      </w:pPr>
      <w:r>
        <w:rPr>
          <w:rFonts w:hint="eastAsia" w:ascii="宋体" w:hAnsi="宋体" w:cs="宋体"/>
          <w:color w:val="auto"/>
          <w:highlight w:val="none"/>
        </w:rPr>
        <w:t>1.4.3采购人根据采购项目的特殊要求，规定供应商的特定条件：见供应商须知前附表。</w:t>
      </w:r>
    </w:p>
    <w:p w14:paraId="03C53548">
      <w:pPr>
        <w:spacing w:line="360" w:lineRule="auto"/>
        <w:jc w:val="left"/>
        <w:rPr>
          <w:rFonts w:ascii="宋体" w:hAnsi="宋体" w:cs="宋体"/>
          <w:color w:val="auto"/>
          <w:highlight w:val="none"/>
        </w:rPr>
      </w:pPr>
      <w:r>
        <w:rPr>
          <w:rFonts w:hint="eastAsia" w:ascii="宋体" w:hAnsi="宋体" w:cs="宋体"/>
          <w:color w:val="auto"/>
          <w:highlight w:val="none"/>
        </w:rPr>
        <w:t>1.4.4供应商不得存在下列情形之一：</w:t>
      </w:r>
    </w:p>
    <w:p w14:paraId="75F28087">
      <w:pPr>
        <w:spacing w:line="360" w:lineRule="auto"/>
        <w:jc w:val="left"/>
        <w:rPr>
          <w:rFonts w:ascii="宋体" w:hAnsi="宋体" w:cs="宋体"/>
          <w:color w:val="auto"/>
          <w:highlight w:val="none"/>
        </w:rPr>
      </w:pPr>
      <w:r>
        <w:rPr>
          <w:rFonts w:hint="eastAsia" w:ascii="宋体" w:hAnsi="宋体" w:cs="宋体"/>
          <w:color w:val="auto"/>
          <w:highlight w:val="none"/>
        </w:rPr>
        <w:t>（l）与采购人和采购代理机构存在隶属关系或者其他利害关系；</w:t>
      </w:r>
    </w:p>
    <w:p w14:paraId="614AD3D6">
      <w:pPr>
        <w:spacing w:line="360" w:lineRule="auto"/>
        <w:jc w:val="left"/>
        <w:rPr>
          <w:rFonts w:ascii="宋体" w:hAnsi="宋体" w:cs="宋体"/>
          <w:color w:val="auto"/>
          <w:highlight w:val="none"/>
        </w:rPr>
      </w:pPr>
      <w:r>
        <w:rPr>
          <w:rFonts w:hint="eastAsia" w:ascii="宋体" w:hAnsi="宋体" w:cs="宋体"/>
          <w:color w:val="auto"/>
          <w:highlight w:val="none"/>
        </w:rPr>
        <w:t>（2）为采购项目提供了整体设计、规范编制或者项目管理、监理、检测等服务；</w:t>
      </w:r>
    </w:p>
    <w:p w14:paraId="35523C95">
      <w:pPr>
        <w:spacing w:line="360" w:lineRule="auto"/>
        <w:jc w:val="left"/>
        <w:rPr>
          <w:rFonts w:ascii="宋体" w:hAnsi="宋体" w:cs="宋体"/>
          <w:color w:val="auto"/>
          <w:highlight w:val="none"/>
        </w:rPr>
      </w:pPr>
      <w:r>
        <w:rPr>
          <w:rFonts w:hint="eastAsia" w:ascii="宋体" w:hAnsi="宋体" w:cs="宋体"/>
          <w:color w:val="auto"/>
          <w:highlight w:val="none"/>
        </w:rPr>
        <w:t>（3）单位负责人为同一人或者存在直接控股、管理关系的不同供应商，参加同一合同项下的政府采购活动；</w:t>
      </w:r>
    </w:p>
    <w:p w14:paraId="01132BAA">
      <w:pPr>
        <w:spacing w:line="360" w:lineRule="auto"/>
        <w:jc w:val="left"/>
        <w:rPr>
          <w:rFonts w:ascii="宋体" w:hAnsi="宋体" w:cs="宋体"/>
          <w:color w:val="auto"/>
          <w:highlight w:val="none"/>
        </w:rPr>
      </w:pPr>
      <w:r>
        <w:rPr>
          <w:rFonts w:hint="eastAsia" w:ascii="宋体" w:hAnsi="宋体" w:cs="宋体"/>
          <w:color w:val="auto"/>
          <w:highlight w:val="none"/>
        </w:rPr>
        <w:t>（4）为采购人不具有独立法人资格的附属机构（单位）；</w:t>
      </w:r>
    </w:p>
    <w:p w14:paraId="25E454B0">
      <w:pPr>
        <w:spacing w:line="360" w:lineRule="auto"/>
        <w:jc w:val="left"/>
        <w:rPr>
          <w:rFonts w:ascii="宋体" w:hAnsi="宋体" w:cs="宋体"/>
          <w:color w:val="auto"/>
          <w:highlight w:val="none"/>
        </w:rPr>
      </w:pPr>
      <w:r>
        <w:rPr>
          <w:rFonts w:hint="eastAsia" w:ascii="宋体" w:hAnsi="宋体" w:cs="宋体"/>
          <w:color w:val="auto"/>
          <w:highlight w:val="none"/>
        </w:rPr>
        <w:t>（5）以联合体形式参加政府采购活动的，联合体各方再单独参加或者与其他供应商另外组成联合体参加同一合同项下的政府采购活动；</w:t>
      </w:r>
    </w:p>
    <w:p w14:paraId="1DE7C9E6">
      <w:pPr>
        <w:spacing w:line="360" w:lineRule="auto"/>
        <w:jc w:val="left"/>
        <w:rPr>
          <w:rFonts w:ascii="宋体" w:hAnsi="宋体" w:cs="宋体"/>
          <w:color w:val="auto"/>
          <w:highlight w:val="none"/>
        </w:rPr>
      </w:pPr>
      <w:r>
        <w:rPr>
          <w:rFonts w:hint="eastAsia" w:ascii="宋体" w:hAnsi="宋体" w:cs="宋体"/>
          <w:color w:val="auto"/>
          <w:highlight w:val="none"/>
        </w:rPr>
        <w:t>（6）处于被责令停业、财产被接管、冻结和破产状态，以及投标资格被取消或者被暂停且在暂停期内；</w:t>
      </w:r>
    </w:p>
    <w:p w14:paraId="5A944A12">
      <w:pPr>
        <w:spacing w:line="360" w:lineRule="auto"/>
        <w:jc w:val="left"/>
        <w:rPr>
          <w:rFonts w:ascii="宋体" w:hAnsi="宋体" w:cs="宋体"/>
          <w:color w:val="auto"/>
          <w:highlight w:val="none"/>
        </w:rPr>
      </w:pPr>
      <w:r>
        <w:rPr>
          <w:rFonts w:hint="eastAsia" w:ascii="宋体" w:hAnsi="宋体" w:cs="宋体"/>
          <w:color w:val="auto"/>
          <w:highlight w:val="none"/>
        </w:rPr>
        <w:t>（7）因拖欠工人工资或者发生质量安全事故被有关部门限制在招标项目所在地承接工程的；</w:t>
      </w:r>
    </w:p>
    <w:p w14:paraId="2E2666B5">
      <w:pPr>
        <w:spacing w:line="360" w:lineRule="auto"/>
        <w:jc w:val="left"/>
        <w:rPr>
          <w:rFonts w:ascii="宋体" w:hAnsi="宋体" w:cs="宋体"/>
          <w:color w:val="auto"/>
          <w:highlight w:val="none"/>
        </w:rPr>
      </w:pPr>
      <w:r>
        <w:rPr>
          <w:rFonts w:hint="eastAsia" w:ascii="宋体" w:hAnsi="宋体" w:cs="宋体"/>
          <w:color w:val="auto"/>
          <w:highlight w:val="none"/>
        </w:rPr>
        <w:t>（8）供应商近3年内有行贿犯罪行为且被记录，或者法定代表人有行贿犯罪记录且自记录之日起未超过5年的；</w:t>
      </w:r>
    </w:p>
    <w:p w14:paraId="7FA291F1">
      <w:pPr>
        <w:spacing w:line="360" w:lineRule="auto"/>
        <w:jc w:val="left"/>
        <w:rPr>
          <w:rFonts w:ascii="宋体" w:hAnsi="宋体" w:cs="宋体"/>
          <w:color w:val="auto"/>
          <w:highlight w:val="none"/>
        </w:rPr>
      </w:pPr>
      <w:r>
        <w:rPr>
          <w:rFonts w:hint="eastAsia" w:ascii="宋体" w:hAnsi="宋体" w:cs="宋体"/>
          <w:color w:val="auto"/>
          <w:highlight w:val="none"/>
        </w:rPr>
        <w:t>（9）被“信用中国”网站（www.creditchina.gov.cn）列入失信被执行人的；</w:t>
      </w:r>
    </w:p>
    <w:p w14:paraId="3371EC93">
      <w:pPr>
        <w:spacing w:line="360" w:lineRule="auto"/>
        <w:jc w:val="left"/>
        <w:rPr>
          <w:rFonts w:ascii="宋体" w:hAnsi="宋体" w:cs="宋体"/>
          <w:color w:val="auto"/>
          <w:highlight w:val="none"/>
        </w:rPr>
      </w:pPr>
      <w:r>
        <w:rPr>
          <w:rFonts w:hint="eastAsia" w:ascii="宋体" w:hAnsi="宋体" w:cs="宋体"/>
          <w:color w:val="auto"/>
          <w:highlight w:val="none"/>
        </w:rPr>
        <w:t>（10）被国家企业信用信息公示系统列入严重违法失信企业名单；</w:t>
      </w:r>
    </w:p>
    <w:p w14:paraId="16978EE8">
      <w:pPr>
        <w:spacing w:line="360" w:lineRule="auto"/>
        <w:jc w:val="left"/>
        <w:rPr>
          <w:rFonts w:ascii="宋体" w:hAnsi="宋体" w:cs="宋体"/>
          <w:color w:val="auto"/>
          <w:highlight w:val="none"/>
        </w:rPr>
      </w:pPr>
      <w:r>
        <w:rPr>
          <w:rFonts w:hint="eastAsia" w:ascii="宋体" w:hAnsi="宋体" w:cs="宋体"/>
          <w:color w:val="auto"/>
          <w:highlight w:val="none"/>
        </w:rPr>
        <w:t>（11）法律、行政法规规定的其他情形。</w:t>
      </w:r>
    </w:p>
    <w:p w14:paraId="60201ADE">
      <w:pPr>
        <w:pStyle w:val="286"/>
        <w:spacing w:before="0" w:after="0" w:line="360" w:lineRule="auto"/>
        <w:jc w:val="left"/>
        <w:rPr>
          <w:rFonts w:ascii="宋体" w:hAnsi="宋体" w:cs="宋体"/>
          <w:b/>
          <w:color w:val="auto"/>
          <w:sz w:val="24"/>
          <w:szCs w:val="24"/>
          <w:highlight w:val="none"/>
        </w:rPr>
      </w:pPr>
      <w:bookmarkStart w:id="76" w:name="_Toc426469876"/>
      <w:bookmarkStart w:id="77" w:name="_Toc179632552"/>
      <w:bookmarkStart w:id="78" w:name="_Toc468783594"/>
      <w:bookmarkStart w:id="79" w:name="_Toc246996923"/>
      <w:bookmarkStart w:id="80" w:name="_Toc144974503"/>
      <w:bookmarkStart w:id="81" w:name="_Toc343525510"/>
      <w:bookmarkStart w:id="82" w:name="_Toc247085694"/>
      <w:bookmarkStart w:id="83" w:name="_Toc152045535"/>
      <w:bookmarkStart w:id="84" w:name="_Toc152042311"/>
      <w:bookmarkStart w:id="85" w:name="_Toc246996180"/>
      <w:bookmarkStart w:id="86" w:name="_Toc383438597"/>
      <w:r>
        <w:rPr>
          <w:rFonts w:hint="eastAsia" w:ascii="宋体" w:hAnsi="宋体" w:cs="宋体"/>
          <w:b/>
          <w:color w:val="auto"/>
          <w:sz w:val="24"/>
          <w:szCs w:val="24"/>
          <w:highlight w:val="none"/>
        </w:rPr>
        <w:t>1.5 费用承担</w:t>
      </w:r>
      <w:bookmarkEnd w:id="76"/>
      <w:bookmarkEnd w:id="77"/>
      <w:bookmarkEnd w:id="78"/>
      <w:bookmarkEnd w:id="79"/>
      <w:bookmarkEnd w:id="80"/>
      <w:bookmarkEnd w:id="81"/>
      <w:bookmarkEnd w:id="82"/>
      <w:bookmarkEnd w:id="83"/>
      <w:bookmarkEnd w:id="84"/>
      <w:bookmarkEnd w:id="85"/>
      <w:bookmarkEnd w:id="86"/>
    </w:p>
    <w:p w14:paraId="69EEECBA">
      <w:pPr>
        <w:spacing w:line="360" w:lineRule="auto"/>
        <w:jc w:val="left"/>
        <w:rPr>
          <w:rFonts w:ascii="宋体" w:hAnsi="宋体" w:cs="宋体"/>
          <w:color w:val="auto"/>
          <w:highlight w:val="none"/>
        </w:rPr>
      </w:pPr>
      <w:r>
        <w:rPr>
          <w:rFonts w:hint="eastAsia" w:ascii="宋体" w:hAnsi="宋体" w:cs="宋体"/>
          <w:color w:val="auto"/>
          <w:highlight w:val="none"/>
        </w:rPr>
        <w:t>无论采购结果如何，供应商为准备和参加投标活动发生的费用自理。</w:t>
      </w:r>
    </w:p>
    <w:p w14:paraId="23F80120">
      <w:pPr>
        <w:pStyle w:val="286"/>
        <w:spacing w:before="0" w:after="0" w:line="360" w:lineRule="auto"/>
        <w:jc w:val="left"/>
        <w:rPr>
          <w:rFonts w:ascii="宋体" w:hAnsi="宋体" w:cs="宋体"/>
          <w:b/>
          <w:color w:val="auto"/>
          <w:sz w:val="24"/>
          <w:szCs w:val="24"/>
          <w:highlight w:val="none"/>
        </w:rPr>
      </w:pPr>
      <w:bookmarkStart w:id="87" w:name="_Toc246996181"/>
      <w:bookmarkStart w:id="88" w:name="_Toc247085695"/>
      <w:bookmarkStart w:id="89" w:name="_Toc152042312"/>
      <w:bookmarkStart w:id="90" w:name="_Toc426469877"/>
      <w:bookmarkStart w:id="91" w:name="_Toc468783595"/>
      <w:bookmarkStart w:id="92" w:name="_Toc383438598"/>
      <w:bookmarkStart w:id="93" w:name="_Toc246996924"/>
      <w:bookmarkStart w:id="94" w:name="_Toc144974504"/>
      <w:bookmarkStart w:id="95" w:name="_Toc152045536"/>
      <w:bookmarkStart w:id="96" w:name="_Toc179632553"/>
      <w:bookmarkStart w:id="97" w:name="_Toc343525511"/>
      <w:r>
        <w:rPr>
          <w:rFonts w:hint="eastAsia" w:ascii="宋体" w:hAnsi="宋体" w:cs="宋体"/>
          <w:b/>
          <w:color w:val="auto"/>
          <w:sz w:val="24"/>
          <w:szCs w:val="24"/>
          <w:highlight w:val="none"/>
        </w:rPr>
        <w:t>1.6 保密</w:t>
      </w:r>
      <w:bookmarkEnd w:id="87"/>
      <w:bookmarkEnd w:id="88"/>
      <w:bookmarkEnd w:id="89"/>
      <w:bookmarkEnd w:id="90"/>
      <w:bookmarkEnd w:id="91"/>
      <w:bookmarkEnd w:id="92"/>
      <w:bookmarkEnd w:id="93"/>
      <w:bookmarkEnd w:id="94"/>
      <w:bookmarkEnd w:id="95"/>
      <w:bookmarkEnd w:id="96"/>
      <w:bookmarkEnd w:id="97"/>
    </w:p>
    <w:p w14:paraId="5A65510A">
      <w:pPr>
        <w:spacing w:line="360" w:lineRule="auto"/>
        <w:ind w:firstLine="210"/>
        <w:jc w:val="left"/>
        <w:rPr>
          <w:rFonts w:ascii="宋体" w:hAnsi="宋体" w:cs="宋体"/>
          <w:color w:val="auto"/>
          <w:highlight w:val="none"/>
        </w:rPr>
      </w:pPr>
      <w:r>
        <w:rPr>
          <w:rFonts w:hint="eastAsia" w:ascii="宋体" w:hAnsi="宋体" w:cs="宋体"/>
          <w:color w:val="auto"/>
          <w:highlight w:val="none"/>
        </w:rPr>
        <w:t>参与采购项目招标投标活动的各方应对竞争性磋商文件和供应商响应文件中的商业和技术等秘密保密，违者应对由此造成的后果承担法律责任。</w:t>
      </w:r>
    </w:p>
    <w:p w14:paraId="6CC550B3">
      <w:pPr>
        <w:pStyle w:val="286"/>
        <w:spacing w:before="0" w:after="0" w:line="360" w:lineRule="auto"/>
        <w:jc w:val="left"/>
        <w:rPr>
          <w:rFonts w:ascii="宋体" w:hAnsi="宋体" w:cs="宋体"/>
          <w:b/>
          <w:color w:val="auto"/>
          <w:sz w:val="24"/>
          <w:szCs w:val="24"/>
          <w:highlight w:val="none"/>
        </w:rPr>
      </w:pPr>
      <w:bookmarkStart w:id="98" w:name="_Toc144974505"/>
      <w:bookmarkStart w:id="99" w:name="_Toc383438599"/>
      <w:bookmarkStart w:id="100" w:name="_Toc247085696"/>
      <w:bookmarkStart w:id="101" w:name="_Toc179632554"/>
      <w:bookmarkStart w:id="102" w:name="_Toc426469878"/>
      <w:bookmarkStart w:id="103" w:name="_Toc152045537"/>
      <w:bookmarkStart w:id="104" w:name="_Toc246996182"/>
      <w:bookmarkStart w:id="105" w:name="_Toc343525512"/>
      <w:bookmarkStart w:id="106" w:name="_Toc152042313"/>
      <w:bookmarkStart w:id="107" w:name="_Toc246996925"/>
      <w:bookmarkStart w:id="108" w:name="_Toc468783596"/>
      <w:r>
        <w:rPr>
          <w:rFonts w:hint="eastAsia" w:ascii="宋体" w:hAnsi="宋体" w:cs="宋体"/>
          <w:b/>
          <w:color w:val="auto"/>
          <w:sz w:val="24"/>
          <w:szCs w:val="24"/>
          <w:highlight w:val="none"/>
        </w:rPr>
        <w:t>1.7 语言</w:t>
      </w:r>
      <w:bookmarkEnd w:id="98"/>
      <w:r>
        <w:rPr>
          <w:rFonts w:hint="eastAsia" w:ascii="宋体" w:hAnsi="宋体" w:cs="宋体"/>
          <w:b/>
          <w:color w:val="auto"/>
          <w:sz w:val="24"/>
          <w:szCs w:val="24"/>
          <w:highlight w:val="none"/>
        </w:rPr>
        <w:t>文字</w:t>
      </w:r>
      <w:bookmarkEnd w:id="99"/>
      <w:bookmarkEnd w:id="100"/>
      <w:bookmarkEnd w:id="101"/>
      <w:bookmarkEnd w:id="102"/>
      <w:bookmarkEnd w:id="103"/>
      <w:bookmarkEnd w:id="104"/>
      <w:bookmarkEnd w:id="105"/>
      <w:bookmarkEnd w:id="106"/>
      <w:bookmarkEnd w:id="107"/>
      <w:bookmarkEnd w:id="108"/>
    </w:p>
    <w:p w14:paraId="0C959155">
      <w:pPr>
        <w:spacing w:line="360" w:lineRule="auto"/>
        <w:ind w:firstLine="210"/>
        <w:jc w:val="left"/>
        <w:rPr>
          <w:rFonts w:ascii="宋体" w:hAnsi="宋体" w:cs="宋体"/>
          <w:color w:val="auto"/>
          <w:highlight w:val="none"/>
        </w:rPr>
      </w:pPr>
      <w:bookmarkStart w:id="109" w:name="_Toc152045538"/>
      <w:bookmarkStart w:id="110" w:name="_Toc246996183"/>
      <w:bookmarkStart w:id="111" w:name="_Toc179632555"/>
      <w:bookmarkStart w:id="112" w:name="_Toc152042314"/>
      <w:bookmarkStart w:id="113" w:name="_Toc246996926"/>
      <w:bookmarkStart w:id="114" w:name="_Toc247085697"/>
      <w:bookmarkStart w:id="115" w:name="_Toc144974506"/>
      <w:r>
        <w:rPr>
          <w:rFonts w:hint="eastAsia" w:ascii="宋体" w:hAnsi="宋体" w:cs="宋体"/>
          <w:color w:val="auto"/>
          <w:highlight w:val="none"/>
        </w:rPr>
        <w:t>招标响应文件使用的语言文字为中文。专用术语使用外文的，应附有中文注释。</w:t>
      </w:r>
    </w:p>
    <w:p w14:paraId="6BB24BAF">
      <w:pPr>
        <w:pStyle w:val="286"/>
        <w:spacing w:before="0" w:after="0" w:line="360" w:lineRule="auto"/>
        <w:jc w:val="left"/>
        <w:rPr>
          <w:rFonts w:ascii="宋体" w:hAnsi="宋体" w:cs="宋体"/>
          <w:b/>
          <w:color w:val="auto"/>
          <w:sz w:val="24"/>
          <w:szCs w:val="24"/>
          <w:highlight w:val="none"/>
        </w:rPr>
      </w:pPr>
      <w:bookmarkStart w:id="116" w:name="_Toc383438600"/>
      <w:bookmarkStart w:id="117" w:name="_Toc468783597"/>
      <w:bookmarkStart w:id="118" w:name="_Toc343525513"/>
      <w:bookmarkStart w:id="119" w:name="_Toc426469879"/>
      <w:r>
        <w:rPr>
          <w:rFonts w:hint="eastAsia" w:ascii="宋体" w:hAnsi="宋体" w:cs="宋体"/>
          <w:b/>
          <w:color w:val="auto"/>
          <w:sz w:val="24"/>
          <w:szCs w:val="24"/>
          <w:highlight w:val="none"/>
        </w:rPr>
        <w:t>1.8 计量单位</w:t>
      </w:r>
      <w:bookmarkEnd w:id="109"/>
      <w:bookmarkEnd w:id="110"/>
      <w:bookmarkEnd w:id="111"/>
      <w:bookmarkEnd w:id="112"/>
      <w:bookmarkEnd w:id="113"/>
      <w:bookmarkEnd w:id="114"/>
      <w:bookmarkEnd w:id="115"/>
      <w:bookmarkEnd w:id="116"/>
      <w:bookmarkEnd w:id="117"/>
      <w:bookmarkEnd w:id="118"/>
      <w:bookmarkEnd w:id="119"/>
    </w:p>
    <w:p w14:paraId="45B7B122">
      <w:pPr>
        <w:spacing w:line="360" w:lineRule="auto"/>
        <w:ind w:firstLine="210"/>
        <w:jc w:val="left"/>
        <w:rPr>
          <w:rFonts w:ascii="宋体" w:hAnsi="宋体" w:cs="宋体"/>
          <w:color w:val="auto"/>
          <w:highlight w:val="none"/>
        </w:rPr>
      </w:pPr>
      <w:r>
        <w:rPr>
          <w:rFonts w:hint="eastAsia" w:ascii="宋体" w:hAnsi="宋体" w:cs="宋体"/>
          <w:color w:val="auto"/>
          <w:highlight w:val="none"/>
        </w:rPr>
        <w:t>所有计量均采用中华人民共和国法定计量单位。</w:t>
      </w:r>
    </w:p>
    <w:p w14:paraId="51ECC987">
      <w:pPr>
        <w:pStyle w:val="286"/>
        <w:spacing w:before="0" w:after="0" w:line="360" w:lineRule="auto"/>
        <w:jc w:val="left"/>
        <w:rPr>
          <w:rFonts w:ascii="宋体" w:hAnsi="宋体" w:cs="宋体"/>
          <w:b/>
          <w:color w:val="auto"/>
          <w:sz w:val="24"/>
          <w:szCs w:val="24"/>
          <w:highlight w:val="none"/>
        </w:rPr>
      </w:pPr>
      <w:bookmarkStart w:id="120" w:name="_Toc21027"/>
      <w:bookmarkStart w:id="121" w:name="_Toc28866"/>
      <w:bookmarkStart w:id="122" w:name="_Toc9554"/>
      <w:bookmarkStart w:id="123" w:name="_Toc109055296"/>
      <w:bookmarkStart w:id="124" w:name="_Toc389065154"/>
      <w:bookmarkStart w:id="125" w:name="_Toc498006653"/>
      <w:r>
        <w:rPr>
          <w:rFonts w:hint="eastAsia" w:ascii="宋体" w:hAnsi="宋体" w:cs="宋体"/>
          <w:b/>
          <w:color w:val="auto"/>
          <w:sz w:val="24"/>
          <w:szCs w:val="24"/>
          <w:highlight w:val="none"/>
        </w:rPr>
        <w:t>1.9 踏勘现场</w:t>
      </w:r>
      <w:bookmarkEnd w:id="120"/>
      <w:bookmarkEnd w:id="121"/>
      <w:bookmarkEnd w:id="122"/>
      <w:bookmarkEnd w:id="123"/>
      <w:bookmarkEnd w:id="124"/>
      <w:bookmarkEnd w:id="125"/>
    </w:p>
    <w:p w14:paraId="50BF4782">
      <w:pPr>
        <w:spacing w:line="360" w:lineRule="auto"/>
        <w:ind w:firstLine="210"/>
        <w:jc w:val="left"/>
        <w:rPr>
          <w:rFonts w:ascii="宋体" w:hAnsi="宋体" w:cs="宋体"/>
          <w:color w:val="auto"/>
          <w:highlight w:val="none"/>
        </w:rPr>
      </w:pPr>
      <w:r>
        <w:rPr>
          <w:rFonts w:hint="eastAsia" w:ascii="宋体" w:hAnsi="宋体" w:cs="宋体"/>
          <w:color w:val="auto"/>
          <w:highlight w:val="none"/>
        </w:rPr>
        <w:t>1.9.1供应商根据需要自行踏勘项目现场。</w:t>
      </w:r>
    </w:p>
    <w:p w14:paraId="2EA42B5F">
      <w:pPr>
        <w:spacing w:line="360" w:lineRule="auto"/>
        <w:ind w:firstLine="210"/>
        <w:jc w:val="left"/>
        <w:rPr>
          <w:rFonts w:ascii="宋体" w:hAnsi="宋体" w:cs="宋体"/>
          <w:color w:val="auto"/>
          <w:highlight w:val="none"/>
        </w:rPr>
      </w:pPr>
      <w:r>
        <w:rPr>
          <w:rFonts w:hint="eastAsia" w:ascii="宋体" w:hAnsi="宋体" w:cs="宋体"/>
          <w:color w:val="auto"/>
          <w:highlight w:val="none"/>
        </w:rPr>
        <w:t>1.9.2 供应商踏勘现场发生的费用自理。</w:t>
      </w:r>
    </w:p>
    <w:p w14:paraId="450EB96C">
      <w:pPr>
        <w:spacing w:line="360" w:lineRule="auto"/>
        <w:ind w:firstLine="210"/>
        <w:jc w:val="left"/>
        <w:rPr>
          <w:rFonts w:ascii="宋体" w:hAnsi="宋体" w:cs="宋体"/>
          <w:color w:val="auto"/>
          <w:highlight w:val="none"/>
        </w:rPr>
      </w:pPr>
      <w:r>
        <w:rPr>
          <w:rFonts w:hint="eastAsia" w:ascii="宋体" w:hAnsi="宋体" w:cs="宋体"/>
          <w:color w:val="auto"/>
          <w:highlight w:val="none"/>
        </w:rPr>
        <w:t>1.9.3供应商自行负责在踏勘现场中所发生的人员伤亡和财产损失。</w:t>
      </w:r>
    </w:p>
    <w:p w14:paraId="78A30633">
      <w:pPr>
        <w:pStyle w:val="286"/>
        <w:spacing w:before="0" w:after="0" w:line="360" w:lineRule="auto"/>
        <w:jc w:val="left"/>
        <w:rPr>
          <w:rFonts w:ascii="宋体" w:hAnsi="宋体" w:cs="宋体"/>
          <w:b/>
          <w:color w:val="auto"/>
          <w:sz w:val="24"/>
          <w:szCs w:val="24"/>
          <w:highlight w:val="none"/>
        </w:rPr>
      </w:pPr>
      <w:bookmarkStart w:id="126" w:name="_Toc426469880"/>
      <w:bookmarkStart w:id="127" w:name="_Toc468783598"/>
      <w:r>
        <w:rPr>
          <w:rFonts w:hint="eastAsia" w:ascii="宋体" w:hAnsi="宋体" w:cs="宋体"/>
          <w:b/>
          <w:color w:val="auto"/>
          <w:sz w:val="24"/>
          <w:szCs w:val="24"/>
          <w:highlight w:val="none"/>
        </w:rPr>
        <w:t>1.10分包</w:t>
      </w:r>
      <w:bookmarkEnd w:id="126"/>
      <w:bookmarkEnd w:id="127"/>
    </w:p>
    <w:p w14:paraId="7618C318">
      <w:pPr>
        <w:spacing w:line="360" w:lineRule="auto"/>
        <w:ind w:firstLine="210"/>
        <w:jc w:val="left"/>
        <w:rPr>
          <w:rFonts w:ascii="宋体" w:hAnsi="宋体" w:cs="宋体"/>
          <w:color w:val="auto"/>
          <w:highlight w:val="none"/>
        </w:rPr>
      </w:pPr>
      <w:r>
        <w:rPr>
          <w:rFonts w:hint="eastAsia" w:ascii="宋体" w:hAnsi="宋体" w:cs="宋体"/>
          <w:color w:val="auto"/>
          <w:highlight w:val="none"/>
        </w:rPr>
        <w:t>本项目不接受分包。</w:t>
      </w:r>
    </w:p>
    <w:p w14:paraId="2962D458">
      <w:pPr>
        <w:pStyle w:val="286"/>
        <w:spacing w:before="0" w:after="0" w:line="360" w:lineRule="auto"/>
        <w:jc w:val="left"/>
        <w:rPr>
          <w:rFonts w:ascii="宋体" w:hAnsi="宋体" w:cs="宋体"/>
          <w:b/>
          <w:color w:val="auto"/>
          <w:sz w:val="24"/>
          <w:szCs w:val="24"/>
          <w:highlight w:val="none"/>
        </w:rPr>
      </w:pPr>
      <w:bookmarkStart w:id="128" w:name="_Toc468783599"/>
      <w:bookmarkStart w:id="129" w:name="_Toc426469881"/>
      <w:r>
        <w:rPr>
          <w:rFonts w:hint="eastAsia" w:ascii="宋体" w:hAnsi="宋体" w:cs="宋体"/>
          <w:b/>
          <w:color w:val="auto"/>
          <w:sz w:val="24"/>
          <w:szCs w:val="24"/>
          <w:highlight w:val="none"/>
        </w:rPr>
        <w:t>1.11 偏离</w:t>
      </w:r>
      <w:bookmarkEnd w:id="128"/>
      <w:bookmarkEnd w:id="129"/>
    </w:p>
    <w:p w14:paraId="56867A32">
      <w:pPr>
        <w:spacing w:line="360" w:lineRule="auto"/>
        <w:jc w:val="left"/>
        <w:rPr>
          <w:rFonts w:ascii="宋体" w:hAnsi="宋体" w:cs="宋体"/>
          <w:color w:val="auto"/>
          <w:highlight w:val="none"/>
        </w:rPr>
      </w:pPr>
      <w:r>
        <w:rPr>
          <w:rFonts w:hint="eastAsia" w:ascii="宋体" w:hAnsi="宋体" w:cs="宋体"/>
          <w:color w:val="auto"/>
          <w:highlight w:val="none"/>
        </w:rPr>
        <w:t>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p>
    <w:p w14:paraId="7D58769C">
      <w:pPr>
        <w:spacing w:line="360" w:lineRule="auto"/>
        <w:jc w:val="left"/>
        <w:rPr>
          <w:rFonts w:ascii="宋体" w:hAnsi="宋体" w:cs="宋体"/>
          <w:color w:val="auto"/>
          <w:highlight w:val="none"/>
        </w:rPr>
      </w:pPr>
      <w:r>
        <w:rPr>
          <w:rFonts w:hint="eastAsia" w:ascii="宋体" w:hAnsi="宋体" w:cs="宋体"/>
          <w:color w:val="auto"/>
          <w:highlight w:val="none"/>
        </w:rPr>
        <w:t>1.11.2偏离的具体要求见供应商须知前附表。</w:t>
      </w:r>
    </w:p>
    <w:p w14:paraId="41CB3B7D">
      <w:pPr>
        <w:pStyle w:val="282"/>
        <w:spacing w:before="0" w:after="0" w:line="360" w:lineRule="auto"/>
        <w:rPr>
          <w:rFonts w:ascii="宋体" w:hAnsi="宋体" w:eastAsia="宋体" w:cs="宋体"/>
          <w:b/>
          <w:color w:val="auto"/>
          <w:sz w:val="24"/>
          <w:szCs w:val="24"/>
          <w:highlight w:val="none"/>
        </w:rPr>
      </w:pPr>
      <w:bookmarkStart w:id="130" w:name="_Toc383438604"/>
      <w:bookmarkStart w:id="131" w:name="_Toc468783600"/>
      <w:bookmarkStart w:id="132" w:name="_Toc343525517"/>
      <w:bookmarkStart w:id="133" w:name="_Toc426469882"/>
      <w:r>
        <w:rPr>
          <w:rFonts w:hint="eastAsia" w:ascii="宋体" w:hAnsi="宋体" w:eastAsia="宋体" w:cs="宋体"/>
          <w:b/>
          <w:color w:val="auto"/>
          <w:sz w:val="24"/>
          <w:szCs w:val="24"/>
          <w:highlight w:val="none"/>
        </w:rPr>
        <w:t>2. 竞争性磋商文件</w:t>
      </w:r>
      <w:bookmarkEnd w:id="130"/>
      <w:bookmarkEnd w:id="131"/>
      <w:bookmarkEnd w:id="132"/>
      <w:bookmarkEnd w:id="133"/>
    </w:p>
    <w:p w14:paraId="52D0A5B6">
      <w:pPr>
        <w:pStyle w:val="286"/>
        <w:spacing w:before="0" w:after="0" w:line="360" w:lineRule="auto"/>
        <w:jc w:val="left"/>
        <w:rPr>
          <w:rFonts w:ascii="宋体" w:hAnsi="宋体" w:cs="宋体"/>
          <w:b/>
          <w:color w:val="auto"/>
          <w:sz w:val="24"/>
          <w:szCs w:val="24"/>
          <w:highlight w:val="none"/>
        </w:rPr>
      </w:pPr>
      <w:bookmarkStart w:id="134" w:name="_Toc468783601"/>
      <w:bookmarkStart w:id="135" w:name="_Toc247085702"/>
      <w:bookmarkStart w:id="136" w:name="_Toc383438605"/>
      <w:bookmarkStart w:id="137" w:name="_Toc246996188"/>
      <w:bookmarkStart w:id="138" w:name="_Toc144974511"/>
      <w:bookmarkStart w:id="139" w:name="_Toc152042319"/>
      <w:bookmarkStart w:id="140" w:name="_Toc246996931"/>
      <w:bookmarkStart w:id="141" w:name="_Toc343525518"/>
      <w:bookmarkStart w:id="142" w:name="_Toc426469883"/>
      <w:bookmarkStart w:id="143" w:name="_Toc179632561"/>
      <w:bookmarkStart w:id="144" w:name="_Toc152045543"/>
      <w:r>
        <w:rPr>
          <w:rFonts w:hint="eastAsia" w:ascii="宋体" w:hAnsi="宋体" w:cs="宋体"/>
          <w:b/>
          <w:color w:val="auto"/>
          <w:sz w:val="24"/>
          <w:szCs w:val="24"/>
          <w:highlight w:val="none"/>
        </w:rPr>
        <w:t>2.1 竞争性磋商文件的组成</w:t>
      </w:r>
      <w:bookmarkEnd w:id="134"/>
      <w:bookmarkEnd w:id="135"/>
      <w:bookmarkEnd w:id="136"/>
      <w:bookmarkEnd w:id="137"/>
      <w:bookmarkEnd w:id="138"/>
      <w:bookmarkEnd w:id="139"/>
      <w:bookmarkEnd w:id="140"/>
      <w:bookmarkEnd w:id="141"/>
      <w:bookmarkEnd w:id="142"/>
      <w:bookmarkEnd w:id="143"/>
      <w:bookmarkEnd w:id="144"/>
    </w:p>
    <w:p w14:paraId="56F89D74">
      <w:pPr>
        <w:spacing w:line="360" w:lineRule="auto"/>
        <w:jc w:val="left"/>
        <w:rPr>
          <w:rFonts w:ascii="宋体" w:hAnsi="宋体" w:cs="宋体"/>
          <w:color w:val="auto"/>
          <w:highlight w:val="none"/>
        </w:rPr>
      </w:pPr>
      <w:r>
        <w:rPr>
          <w:rFonts w:hint="eastAsia" w:ascii="宋体" w:hAnsi="宋体" w:cs="宋体"/>
          <w:color w:val="auto"/>
          <w:highlight w:val="none"/>
        </w:rPr>
        <w:t>2.1.1 本竞争性磋商文件包括：</w:t>
      </w:r>
    </w:p>
    <w:p w14:paraId="1101BF48">
      <w:pPr>
        <w:spacing w:line="360" w:lineRule="auto"/>
        <w:jc w:val="left"/>
        <w:rPr>
          <w:rFonts w:ascii="宋体" w:hAnsi="宋体" w:cs="宋体"/>
          <w:color w:val="auto"/>
          <w:highlight w:val="none"/>
        </w:rPr>
      </w:pPr>
      <w:r>
        <w:rPr>
          <w:rFonts w:hint="eastAsia" w:ascii="宋体" w:hAnsi="宋体" w:cs="宋体"/>
          <w:color w:val="auto"/>
          <w:highlight w:val="none"/>
        </w:rPr>
        <w:t>（1）竞争性磋商公告；</w:t>
      </w:r>
    </w:p>
    <w:p w14:paraId="4389E3A1">
      <w:pPr>
        <w:spacing w:line="360" w:lineRule="auto"/>
        <w:jc w:val="left"/>
        <w:rPr>
          <w:rFonts w:ascii="宋体" w:hAnsi="宋体" w:cs="宋体"/>
          <w:color w:val="auto"/>
          <w:highlight w:val="none"/>
        </w:rPr>
      </w:pPr>
      <w:r>
        <w:rPr>
          <w:rFonts w:hint="eastAsia" w:ascii="宋体" w:hAnsi="宋体" w:cs="宋体"/>
          <w:color w:val="auto"/>
          <w:highlight w:val="none"/>
        </w:rPr>
        <w:t>（2）供应商须知；</w:t>
      </w:r>
    </w:p>
    <w:p w14:paraId="12817894">
      <w:pPr>
        <w:spacing w:line="360" w:lineRule="auto"/>
        <w:jc w:val="left"/>
        <w:rPr>
          <w:rFonts w:ascii="宋体" w:hAnsi="宋体" w:cs="宋体"/>
          <w:color w:val="auto"/>
          <w:highlight w:val="none"/>
        </w:rPr>
      </w:pPr>
      <w:r>
        <w:rPr>
          <w:rFonts w:hint="eastAsia" w:ascii="宋体" w:hAnsi="宋体" w:cs="宋体"/>
          <w:color w:val="auto"/>
          <w:highlight w:val="none"/>
        </w:rPr>
        <w:t>（3）竞争性磋商；</w:t>
      </w:r>
    </w:p>
    <w:p w14:paraId="76BA7B61">
      <w:pPr>
        <w:spacing w:line="360" w:lineRule="auto"/>
        <w:jc w:val="left"/>
        <w:rPr>
          <w:rFonts w:ascii="宋体" w:hAnsi="宋体" w:cs="宋体"/>
          <w:color w:val="auto"/>
          <w:highlight w:val="none"/>
        </w:rPr>
      </w:pPr>
      <w:r>
        <w:rPr>
          <w:rFonts w:hint="eastAsia" w:ascii="宋体" w:hAnsi="宋体" w:cs="宋体"/>
          <w:color w:val="auto"/>
          <w:highlight w:val="none"/>
        </w:rPr>
        <w:t>（4）技术标准和要求；</w:t>
      </w:r>
    </w:p>
    <w:p w14:paraId="3E9556E0">
      <w:pPr>
        <w:spacing w:line="360" w:lineRule="auto"/>
        <w:jc w:val="left"/>
        <w:rPr>
          <w:rFonts w:ascii="宋体" w:hAnsi="宋体" w:cs="宋体"/>
          <w:color w:val="auto"/>
          <w:highlight w:val="none"/>
        </w:rPr>
      </w:pPr>
      <w:r>
        <w:rPr>
          <w:rFonts w:hint="eastAsia" w:ascii="宋体" w:hAnsi="宋体" w:cs="宋体"/>
          <w:color w:val="auto"/>
          <w:highlight w:val="none"/>
        </w:rPr>
        <w:t>（5）响应文件的编制及格式；</w:t>
      </w:r>
    </w:p>
    <w:p w14:paraId="2DCDC24F">
      <w:pPr>
        <w:spacing w:line="360" w:lineRule="auto"/>
        <w:jc w:val="left"/>
        <w:rPr>
          <w:rFonts w:ascii="宋体" w:hAnsi="宋体" w:cs="宋体"/>
          <w:color w:val="auto"/>
          <w:highlight w:val="none"/>
        </w:rPr>
      </w:pPr>
      <w:r>
        <w:rPr>
          <w:rFonts w:hint="eastAsia" w:ascii="宋体" w:hAnsi="宋体" w:cs="宋体"/>
          <w:color w:val="auto"/>
          <w:highlight w:val="none"/>
        </w:rPr>
        <w:t>（6）供应商须知前附表规定的构成竞争性磋商文件的其他材料。</w:t>
      </w:r>
    </w:p>
    <w:p w14:paraId="1EF0A057">
      <w:pPr>
        <w:spacing w:line="360" w:lineRule="auto"/>
        <w:jc w:val="left"/>
        <w:rPr>
          <w:rFonts w:ascii="宋体" w:hAnsi="宋体" w:cs="宋体"/>
          <w:color w:val="auto"/>
          <w:highlight w:val="none"/>
        </w:rPr>
      </w:pPr>
      <w:r>
        <w:rPr>
          <w:rFonts w:hint="eastAsia" w:ascii="宋体" w:hAnsi="宋体" w:cs="宋体"/>
          <w:color w:val="auto"/>
          <w:highlight w:val="none"/>
        </w:rPr>
        <w:t>2.1.2 根据本章第2.2款和第2.3款对竞争性磋商文件所作的澄清、修改，构成竞争性磋商文件的组成部分。</w:t>
      </w:r>
    </w:p>
    <w:p w14:paraId="607439D1">
      <w:pPr>
        <w:spacing w:line="360" w:lineRule="auto"/>
        <w:jc w:val="left"/>
        <w:rPr>
          <w:rFonts w:ascii="宋体" w:hAnsi="宋体" w:cs="宋体"/>
          <w:color w:val="auto"/>
          <w:highlight w:val="none"/>
        </w:rPr>
      </w:pPr>
      <w:r>
        <w:rPr>
          <w:rFonts w:hint="eastAsia" w:ascii="宋体" w:hAnsi="宋体" w:cs="宋体"/>
          <w:color w:val="auto"/>
          <w:highlight w:val="none"/>
        </w:rPr>
        <w:t xml:space="preserve">2.1.3 </w:t>
      </w:r>
      <w:r>
        <w:rPr>
          <w:rFonts w:hint="eastAsia" w:ascii="宋体" w:hAnsi="宋体" w:cs="宋体"/>
          <w:bCs/>
          <w:color w:val="auto"/>
          <w:highlight w:val="none"/>
        </w:rPr>
        <w:t>供应商应认真阅读、并充分理解竞争性磋商文件的全部内容（包括所有的补充、修改内容、重要事项、格式、条款和技术规范、参数及要求等）。供应商没有对竞争性磋商文件作出实质性响应将导致投标无效。</w:t>
      </w:r>
    </w:p>
    <w:p w14:paraId="4B47C805">
      <w:pPr>
        <w:pStyle w:val="286"/>
        <w:spacing w:before="0" w:after="0" w:line="360" w:lineRule="auto"/>
        <w:jc w:val="left"/>
        <w:rPr>
          <w:rFonts w:ascii="宋体" w:hAnsi="宋体" w:cs="宋体"/>
          <w:b/>
          <w:color w:val="auto"/>
          <w:sz w:val="24"/>
          <w:szCs w:val="24"/>
          <w:highlight w:val="none"/>
        </w:rPr>
      </w:pPr>
      <w:bookmarkStart w:id="145" w:name="_Toc426469884"/>
      <w:bookmarkStart w:id="146" w:name="_Toc152045544"/>
      <w:bookmarkStart w:id="147" w:name="_Toc179632562"/>
      <w:bookmarkStart w:id="148" w:name="_Toc246996932"/>
      <w:bookmarkStart w:id="149" w:name="_Toc144974512"/>
      <w:bookmarkStart w:id="150" w:name="_Toc152042320"/>
      <w:bookmarkStart w:id="151" w:name="_Toc247085703"/>
      <w:bookmarkStart w:id="152" w:name="_Toc343525519"/>
      <w:bookmarkStart w:id="153" w:name="_Toc246996189"/>
      <w:bookmarkStart w:id="154" w:name="_Toc383438606"/>
      <w:bookmarkStart w:id="155" w:name="_Toc468783602"/>
      <w:r>
        <w:rPr>
          <w:rFonts w:hint="eastAsia" w:ascii="宋体" w:hAnsi="宋体" w:cs="宋体"/>
          <w:b/>
          <w:color w:val="auto"/>
          <w:sz w:val="24"/>
          <w:szCs w:val="24"/>
          <w:highlight w:val="none"/>
        </w:rPr>
        <w:t>2.2 竞争性磋商文件的澄清</w:t>
      </w:r>
      <w:bookmarkEnd w:id="145"/>
      <w:bookmarkEnd w:id="146"/>
      <w:bookmarkEnd w:id="147"/>
      <w:bookmarkEnd w:id="148"/>
      <w:bookmarkEnd w:id="149"/>
      <w:bookmarkEnd w:id="150"/>
      <w:bookmarkEnd w:id="151"/>
      <w:bookmarkEnd w:id="152"/>
      <w:bookmarkEnd w:id="153"/>
      <w:bookmarkEnd w:id="154"/>
      <w:bookmarkEnd w:id="155"/>
    </w:p>
    <w:p w14:paraId="0AE4B539">
      <w:pPr>
        <w:spacing w:line="360" w:lineRule="auto"/>
        <w:jc w:val="left"/>
        <w:rPr>
          <w:rFonts w:ascii="宋体" w:hAnsi="宋体" w:cs="宋体"/>
          <w:color w:val="auto"/>
          <w:highlight w:val="none"/>
        </w:rPr>
      </w:pPr>
      <w:r>
        <w:rPr>
          <w:rFonts w:hint="eastAsia" w:ascii="宋体" w:hAnsi="宋体" w:cs="宋体"/>
          <w:color w:val="auto"/>
          <w:highlight w:val="none"/>
        </w:rPr>
        <w:t>2.2.1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p>
    <w:p w14:paraId="00D424B6">
      <w:pPr>
        <w:spacing w:line="360" w:lineRule="auto"/>
        <w:jc w:val="left"/>
        <w:rPr>
          <w:rFonts w:ascii="宋体" w:hAnsi="宋体" w:cs="宋体"/>
          <w:color w:val="auto"/>
          <w:highlight w:val="none"/>
        </w:rPr>
      </w:pPr>
      <w:r>
        <w:rPr>
          <w:rFonts w:hint="eastAsia" w:ascii="宋体" w:hAnsi="宋体" w:cs="宋体"/>
          <w:color w:val="auto"/>
          <w:highlight w:val="none"/>
        </w:rPr>
        <w:t>2.2.2竞争性磋商文件的澄清将在供应商须知前附表规定的响应截止时间前在原公告信息发布媒体公开发布，但不指明问题的来源。如果澄清内容影响响应文件编制的，将相应延长响应截止时间。</w:t>
      </w:r>
    </w:p>
    <w:p w14:paraId="14E3E23F">
      <w:pPr>
        <w:spacing w:line="360" w:lineRule="auto"/>
        <w:jc w:val="left"/>
        <w:rPr>
          <w:rFonts w:ascii="宋体" w:hAnsi="宋体" w:cs="宋体"/>
          <w:color w:val="auto"/>
          <w:highlight w:val="none"/>
        </w:rPr>
      </w:pPr>
      <w:r>
        <w:rPr>
          <w:rFonts w:hint="eastAsia" w:ascii="宋体" w:hAnsi="宋体" w:cs="宋体"/>
          <w:color w:val="auto"/>
          <w:highlight w:val="none"/>
        </w:rPr>
        <w:t>2.2.3供应商未按澄清后的竞争性磋商文件编制的响应文件有可能被磋商小组否决。</w:t>
      </w:r>
    </w:p>
    <w:p w14:paraId="765BA389">
      <w:pPr>
        <w:pStyle w:val="286"/>
        <w:spacing w:before="0" w:after="0" w:line="360" w:lineRule="auto"/>
        <w:jc w:val="left"/>
        <w:rPr>
          <w:rFonts w:ascii="宋体" w:hAnsi="宋体" w:cs="宋体"/>
          <w:b/>
          <w:color w:val="auto"/>
          <w:sz w:val="24"/>
          <w:szCs w:val="24"/>
          <w:highlight w:val="none"/>
        </w:rPr>
      </w:pPr>
      <w:bookmarkStart w:id="156" w:name="_Toc246996933"/>
      <w:bookmarkStart w:id="157" w:name="_Toc152042321"/>
      <w:bookmarkStart w:id="158" w:name="_Toc152045545"/>
      <w:bookmarkStart w:id="159" w:name="_Toc246996190"/>
      <w:bookmarkStart w:id="160" w:name="_Toc468783603"/>
      <w:bookmarkStart w:id="161" w:name="_Toc179632563"/>
      <w:bookmarkStart w:id="162" w:name="_Toc343525520"/>
      <w:bookmarkStart w:id="163" w:name="_Toc383438607"/>
      <w:bookmarkStart w:id="164" w:name="_Toc426469885"/>
      <w:bookmarkStart w:id="165" w:name="_Toc247085704"/>
      <w:bookmarkStart w:id="166" w:name="_Toc144974513"/>
      <w:r>
        <w:rPr>
          <w:rFonts w:hint="eastAsia" w:ascii="宋体" w:hAnsi="宋体" w:cs="宋体"/>
          <w:b/>
          <w:color w:val="auto"/>
          <w:sz w:val="24"/>
          <w:szCs w:val="24"/>
          <w:highlight w:val="none"/>
        </w:rPr>
        <w:t>2.3 竞争性磋商文件的修改</w:t>
      </w:r>
      <w:bookmarkEnd w:id="156"/>
      <w:bookmarkEnd w:id="157"/>
      <w:bookmarkEnd w:id="158"/>
      <w:bookmarkEnd w:id="159"/>
      <w:bookmarkEnd w:id="160"/>
      <w:bookmarkEnd w:id="161"/>
      <w:bookmarkEnd w:id="162"/>
      <w:bookmarkEnd w:id="163"/>
      <w:bookmarkEnd w:id="164"/>
      <w:bookmarkEnd w:id="165"/>
      <w:bookmarkEnd w:id="166"/>
    </w:p>
    <w:p w14:paraId="29D88B1B">
      <w:pPr>
        <w:spacing w:line="360" w:lineRule="auto"/>
        <w:jc w:val="left"/>
        <w:rPr>
          <w:rFonts w:ascii="宋体" w:hAnsi="宋体" w:cs="宋体"/>
          <w:color w:val="auto"/>
          <w:highlight w:val="none"/>
        </w:rPr>
      </w:pPr>
      <w:r>
        <w:rPr>
          <w:rFonts w:hint="eastAsia" w:ascii="宋体" w:hAnsi="宋体" w:cs="宋体"/>
          <w:color w:val="auto"/>
          <w:highlight w:val="none"/>
        </w:rPr>
        <w:t>2.3.1采购人可以修改竞争性磋商文件，修改后的内容是竞争性磋商文件的组成部分，将在原公告信息发布媒体公开发布，修改后的竞争性磋商文件内容对潜在供应商具有约束力。如果修改内容影响响应文件编制的，将相应延长响应截止时间。</w:t>
      </w:r>
    </w:p>
    <w:p w14:paraId="5DE76F07">
      <w:pPr>
        <w:spacing w:line="360" w:lineRule="auto"/>
        <w:jc w:val="left"/>
        <w:rPr>
          <w:rFonts w:ascii="宋体" w:hAnsi="宋体" w:cs="宋体"/>
          <w:color w:val="auto"/>
          <w:highlight w:val="none"/>
        </w:rPr>
      </w:pPr>
      <w:r>
        <w:rPr>
          <w:rFonts w:hint="eastAsia" w:ascii="宋体" w:hAnsi="宋体" w:cs="宋体"/>
          <w:color w:val="auto"/>
          <w:highlight w:val="none"/>
        </w:rPr>
        <w:t>2.3.2潜在供应商应在响应截止时间前，关注招标公告信息发布媒体有无补充文件信息。因潜在供应商自身原因不能及时获知补充文件信息的，采购人及采购代理机构不承担任何责任。潜在供应商未按修改后的竞争性磋商文件编制的响应文件有可能被磋商小组否决。</w:t>
      </w:r>
    </w:p>
    <w:p w14:paraId="2FF0CFDF">
      <w:pPr>
        <w:spacing w:line="360" w:lineRule="auto"/>
        <w:jc w:val="left"/>
        <w:rPr>
          <w:rFonts w:ascii="宋体" w:hAnsi="宋体" w:cs="宋体"/>
          <w:color w:val="auto"/>
          <w:highlight w:val="none"/>
        </w:rPr>
      </w:pPr>
      <w:r>
        <w:rPr>
          <w:rFonts w:hint="eastAsia" w:ascii="宋体" w:hAnsi="宋体" w:cs="宋体"/>
          <w:color w:val="auto"/>
          <w:highlight w:val="none"/>
        </w:rPr>
        <w:t>2.3.3竞争性磋商文件的澄清或修改涉及到申请人的资格条件、采购标的等实质性内容时，将重新发布竞争性磋商公告。</w:t>
      </w:r>
    </w:p>
    <w:p w14:paraId="72949161">
      <w:pPr>
        <w:pStyle w:val="286"/>
        <w:spacing w:before="0" w:after="0" w:line="360" w:lineRule="auto"/>
        <w:jc w:val="left"/>
        <w:rPr>
          <w:rFonts w:ascii="宋体" w:hAnsi="宋体" w:cs="宋体"/>
          <w:b/>
          <w:color w:val="auto"/>
          <w:sz w:val="24"/>
          <w:szCs w:val="24"/>
          <w:highlight w:val="none"/>
        </w:rPr>
      </w:pPr>
      <w:bookmarkStart w:id="167" w:name="_Toc426469886"/>
      <w:bookmarkStart w:id="168" w:name="_Toc468783604"/>
      <w:bookmarkStart w:id="169" w:name="_Toc343525521"/>
      <w:bookmarkStart w:id="170" w:name="_Toc383438608"/>
      <w:r>
        <w:rPr>
          <w:rFonts w:hint="eastAsia" w:ascii="宋体" w:hAnsi="宋体" w:cs="宋体"/>
          <w:b/>
          <w:color w:val="auto"/>
          <w:sz w:val="24"/>
          <w:szCs w:val="24"/>
          <w:highlight w:val="none"/>
        </w:rPr>
        <w:t xml:space="preserve">2.4 </w:t>
      </w:r>
      <w:bookmarkEnd w:id="167"/>
      <w:bookmarkEnd w:id="168"/>
      <w:bookmarkEnd w:id="169"/>
      <w:bookmarkEnd w:id="170"/>
      <w:r>
        <w:rPr>
          <w:rFonts w:hint="eastAsia" w:ascii="宋体" w:hAnsi="宋体" w:cs="宋体"/>
          <w:b/>
          <w:color w:val="auto"/>
          <w:sz w:val="24"/>
          <w:szCs w:val="24"/>
          <w:highlight w:val="none"/>
        </w:rPr>
        <w:t>采购预算和最高限价</w:t>
      </w:r>
    </w:p>
    <w:p w14:paraId="541825FA">
      <w:pPr>
        <w:spacing w:line="360" w:lineRule="auto"/>
        <w:jc w:val="left"/>
        <w:rPr>
          <w:rFonts w:ascii="宋体" w:hAnsi="宋体" w:cs="宋体"/>
          <w:color w:val="auto"/>
          <w:highlight w:val="none"/>
        </w:rPr>
      </w:pPr>
      <w:r>
        <w:rPr>
          <w:rFonts w:hint="eastAsia" w:ascii="宋体" w:hAnsi="宋体" w:cs="宋体"/>
          <w:color w:val="auto"/>
          <w:highlight w:val="none"/>
        </w:rPr>
        <w:t>采购预算和最高限价具体金额见供应商须知前附表。</w:t>
      </w:r>
    </w:p>
    <w:p w14:paraId="384BBBAD">
      <w:pPr>
        <w:pStyle w:val="286"/>
        <w:spacing w:before="0" w:after="0" w:line="360" w:lineRule="auto"/>
        <w:jc w:val="left"/>
        <w:rPr>
          <w:rFonts w:ascii="宋体" w:hAnsi="宋体" w:cs="宋体"/>
          <w:b/>
          <w:color w:val="auto"/>
          <w:sz w:val="24"/>
          <w:szCs w:val="24"/>
          <w:highlight w:val="none"/>
        </w:rPr>
      </w:pPr>
      <w:bookmarkStart w:id="171" w:name="_Toc383438609"/>
      <w:bookmarkStart w:id="172" w:name="_Toc246996191"/>
      <w:bookmarkStart w:id="173" w:name="_Toc247085705"/>
      <w:bookmarkStart w:id="174" w:name="_Toc343525522"/>
      <w:bookmarkStart w:id="175" w:name="_Toc246996934"/>
      <w:bookmarkStart w:id="176" w:name="_Toc152045546"/>
      <w:bookmarkStart w:id="177" w:name="_Toc179632564"/>
      <w:bookmarkStart w:id="178" w:name="_Toc152042322"/>
      <w:bookmarkStart w:id="179" w:name="_Toc426469887"/>
      <w:bookmarkStart w:id="180" w:name="_Toc144974514"/>
      <w:bookmarkStart w:id="181" w:name="_Toc367785004"/>
      <w:bookmarkStart w:id="182" w:name="_Toc426469889"/>
      <w:bookmarkStart w:id="183" w:name="_Toc468783607"/>
      <w:r>
        <w:rPr>
          <w:rFonts w:hint="eastAsia" w:ascii="宋体" w:hAnsi="宋体" w:cs="宋体"/>
          <w:b/>
          <w:color w:val="auto"/>
          <w:sz w:val="24"/>
          <w:szCs w:val="24"/>
          <w:highlight w:val="none"/>
        </w:rPr>
        <w:t xml:space="preserve">3. </w:t>
      </w:r>
      <w:bookmarkEnd w:id="171"/>
      <w:bookmarkEnd w:id="172"/>
      <w:bookmarkEnd w:id="173"/>
      <w:bookmarkEnd w:id="174"/>
      <w:bookmarkEnd w:id="175"/>
      <w:bookmarkEnd w:id="176"/>
      <w:bookmarkEnd w:id="177"/>
      <w:bookmarkEnd w:id="178"/>
      <w:bookmarkEnd w:id="179"/>
      <w:bookmarkEnd w:id="180"/>
      <w:r>
        <w:rPr>
          <w:rFonts w:hint="eastAsia" w:ascii="宋体" w:hAnsi="宋体" w:cs="宋体"/>
          <w:b/>
          <w:color w:val="auto"/>
          <w:sz w:val="24"/>
          <w:szCs w:val="24"/>
          <w:highlight w:val="none"/>
        </w:rPr>
        <w:t>响应文件</w:t>
      </w:r>
    </w:p>
    <w:p w14:paraId="145A3130">
      <w:pPr>
        <w:pStyle w:val="286"/>
        <w:spacing w:before="0" w:after="0" w:line="360" w:lineRule="auto"/>
        <w:jc w:val="left"/>
        <w:rPr>
          <w:rFonts w:ascii="宋体" w:hAnsi="宋体" w:cs="宋体"/>
          <w:color w:val="auto"/>
          <w:sz w:val="24"/>
          <w:szCs w:val="24"/>
          <w:highlight w:val="none"/>
        </w:rPr>
      </w:pPr>
      <w:bookmarkStart w:id="184" w:name="_Toc144974515"/>
      <w:bookmarkStart w:id="185" w:name="_Toc246996192"/>
      <w:bookmarkStart w:id="186" w:name="_Toc343525523"/>
      <w:bookmarkStart w:id="187" w:name="_Toc179632565"/>
      <w:bookmarkStart w:id="188" w:name="_Toc152042323"/>
      <w:bookmarkStart w:id="189" w:name="_Toc247085706"/>
      <w:bookmarkStart w:id="190" w:name="_Toc246996935"/>
      <w:bookmarkStart w:id="191" w:name="_Toc383438610"/>
      <w:bookmarkStart w:id="192" w:name="_Toc152045547"/>
      <w:bookmarkStart w:id="193" w:name="_Toc426469888"/>
      <w:r>
        <w:rPr>
          <w:rFonts w:hint="eastAsia" w:ascii="宋体" w:hAnsi="宋体" w:cs="宋体"/>
          <w:color w:val="auto"/>
          <w:sz w:val="24"/>
          <w:szCs w:val="24"/>
          <w:highlight w:val="none"/>
        </w:rPr>
        <w:t>3.1</w:t>
      </w:r>
      <w:bookmarkEnd w:id="184"/>
      <w:bookmarkEnd w:id="185"/>
      <w:bookmarkEnd w:id="186"/>
      <w:bookmarkEnd w:id="187"/>
      <w:bookmarkEnd w:id="188"/>
      <w:bookmarkEnd w:id="189"/>
      <w:bookmarkEnd w:id="190"/>
      <w:bookmarkEnd w:id="191"/>
      <w:bookmarkEnd w:id="192"/>
      <w:r>
        <w:rPr>
          <w:rFonts w:hint="eastAsia" w:ascii="宋体" w:hAnsi="宋体" w:cs="宋体"/>
          <w:color w:val="auto"/>
          <w:sz w:val="24"/>
          <w:szCs w:val="24"/>
          <w:highlight w:val="none"/>
        </w:rPr>
        <w:t>响应文件的构成</w:t>
      </w:r>
      <w:bookmarkEnd w:id="193"/>
    </w:p>
    <w:p w14:paraId="6C320A66">
      <w:pPr>
        <w:spacing w:line="360" w:lineRule="auto"/>
        <w:rPr>
          <w:rFonts w:ascii="宋体" w:hAnsi="宋体" w:cs="宋体"/>
          <w:bCs/>
          <w:color w:val="auto"/>
          <w:highlight w:val="none"/>
        </w:rPr>
      </w:pPr>
      <w:r>
        <w:rPr>
          <w:rFonts w:hint="eastAsia" w:ascii="宋体" w:hAnsi="宋体" w:cs="宋体"/>
          <w:bCs/>
          <w:color w:val="auto"/>
          <w:highlight w:val="none"/>
        </w:rPr>
        <w:t>（1）磋商报价表</w:t>
      </w:r>
    </w:p>
    <w:p w14:paraId="1377210D">
      <w:pPr>
        <w:spacing w:line="360" w:lineRule="auto"/>
        <w:rPr>
          <w:rFonts w:ascii="宋体" w:hAnsi="宋体" w:cs="宋体"/>
          <w:bCs/>
          <w:color w:val="auto"/>
          <w:highlight w:val="none"/>
        </w:rPr>
      </w:pPr>
      <w:r>
        <w:rPr>
          <w:rFonts w:hint="eastAsia" w:ascii="宋体" w:hAnsi="宋体" w:cs="宋体"/>
          <w:bCs/>
          <w:color w:val="auto"/>
          <w:highlight w:val="none"/>
        </w:rPr>
        <w:t>（2）响应函及附录</w:t>
      </w:r>
    </w:p>
    <w:p w14:paraId="4B4561B2">
      <w:pPr>
        <w:spacing w:line="360" w:lineRule="auto"/>
        <w:rPr>
          <w:rFonts w:ascii="宋体" w:hAnsi="宋体" w:cs="宋体"/>
          <w:bCs/>
          <w:color w:val="auto"/>
          <w:highlight w:val="none"/>
        </w:rPr>
      </w:pPr>
      <w:r>
        <w:rPr>
          <w:rFonts w:hint="eastAsia" w:ascii="宋体" w:hAnsi="宋体" w:cs="宋体"/>
          <w:bCs/>
          <w:color w:val="auto"/>
          <w:highlight w:val="none"/>
        </w:rPr>
        <w:t>（3）资格及资信证明文件</w:t>
      </w:r>
    </w:p>
    <w:p w14:paraId="37C43ED7">
      <w:pPr>
        <w:spacing w:line="360" w:lineRule="auto"/>
        <w:rPr>
          <w:rFonts w:ascii="宋体" w:hAnsi="宋体" w:cs="宋体"/>
          <w:bCs/>
          <w:color w:val="auto"/>
          <w:highlight w:val="none"/>
        </w:rPr>
      </w:pPr>
      <w:r>
        <w:rPr>
          <w:rFonts w:hint="eastAsia" w:ascii="宋体" w:hAnsi="宋体" w:cs="宋体"/>
          <w:bCs/>
          <w:color w:val="auto"/>
          <w:highlight w:val="none"/>
        </w:rPr>
        <w:t>（4）技术标准和要求响应承诺</w:t>
      </w:r>
    </w:p>
    <w:p w14:paraId="1ABC7980">
      <w:pPr>
        <w:spacing w:line="360" w:lineRule="auto"/>
        <w:rPr>
          <w:rFonts w:ascii="宋体" w:hAnsi="宋体" w:cs="宋体"/>
          <w:bCs/>
          <w:color w:val="auto"/>
          <w:highlight w:val="none"/>
        </w:rPr>
      </w:pPr>
      <w:r>
        <w:rPr>
          <w:rFonts w:hint="eastAsia" w:ascii="宋体" w:hAnsi="宋体" w:cs="宋体"/>
          <w:bCs/>
          <w:color w:val="auto"/>
          <w:highlight w:val="none"/>
        </w:rPr>
        <w:t>（5）企业综合实力证明材料</w:t>
      </w:r>
    </w:p>
    <w:p w14:paraId="3D9F1A74">
      <w:pPr>
        <w:spacing w:line="360" w:lineRule="auto"/>
        <w:rPr>
          <w:rFonts w:ascii="宋体" w:hAnsi="宋体" w:cs="宋体"/>
          <w:bCs/>
          <w:color w:val="auto"/>
          <w:highlight w:val="none"/>
        </w:rPr>
      </w:pPr>
      <w:r>
        <w:rPr>
          <w:rFonts w:hint="eastAsia" w:ascii="宋体" w:hAnsi="宋体" w:cs="宋体"/>
          <w:bCs/>
          <w:color w:val="auto"/>
          <w:highlight w:val="none"/>
        </w:rPr>
        <w:t>（6）供应商认为应列入响应文件的其他材料</w:t>
      </w:r>
    </w:p>
    <w:p w14:paraId="5868B860">
      <w:pPr>
        <w:pStyle w:val="286"/>
        <w:spacing w:before="0" w:after="0" w:line="360" w:lineRule="auto"/>
        <w:jc w:val="left"/>
        <w:rPr>
          <w:rFonts w:ascii="宋体" w:hAnsi="宋体" w:cs="宋体"/>
          <w:b/>
          <w:color w:val="auto"/>
          <w:sz w:val="24"/>
          <w:szCs w:val="24"/>
          <w:highlight w:val="none"/>
        </w:rPr>
      </w:pPr>
      <w:r>
        <w:rPr>
          <w:rFonts w:hint="eastAsia" w:ascii="宋体" w:hAnsi="宋体" w:cs="宋体"/>
          <w:b/>
          <w:color w:val="auto"/>
          <w:sz w:val="24"/>
          <w:szCs w:val="24"/>
          <w:highlight w:val="none"/>
        </w:rPr>
        <w:t>3.2</w:t>
      </w:r>
      <w:bookmarkEnd w:id="181"/>
      <w:r>
        <w:rPr>
          <w:rFonts w:hint="eastAsia" w:ascii="宋体" w:hAnsi="宋体" w:cs="宋体"/>
          <w:color w:val="auto"/>
          <w:sz w:val="24"/>
          <w:szCs w:val="24"/>
          <w:highlight w:val="none"/>
        </w:rPr>
        <w:t>报价</w:t>
      </w:r>
      <w:bookmarkEnd w:id="182"/>
      <w:bookmarkEnd w:id="183"/>
    </w:p>
    <w:p w14:paraId="52B30E5F">
      <w:pPr>
        <w:spacing w:line="360" w:lineRule="auto"/>
        <w:jc w:val="left"/>
        <w:rPr>
          <w:rFonts w:ascii="宋体" w:hAnsi="宋体" w:cs="宋体"/>
          <w:color w:val="auto"/>
          <w:highlight w:val="none"/>
        </w:rPr>
      </w:pPr>
      <w:r>
        <w:rPr>
          <w:rFonts w:hint="eastAsia" w:ascii="宋体" w:hAnsi="宋体" w:cs="宋体"/>
          <w:color w:val="auto"/>
          <w:highlight w:val="none"/>
        </w:rPr>
        <w:t>3.2.1 供应商应按竞争性磋商小组经过谈判后提供的竞争性磋商文件中规定的供货及服务及施工要求、责任范围和合同条件，以人民币进行报价。</w:t>
      </w:r>
    </w:p>
    <w:p w14:paraId="23A3B381">
      <w:pPr>
        <w:spacing w:line="360" w:lineRule="auto"/>
        <w:jc w:val="left"/>
        <w:rPr>
          <w:rFonts w:ascii="宋体" w:hAnsi="宋体" w:cs="宋体"/>
          <w:color w:val="auto"/>
          <w:highlight w:val="none"/>
        </w:rPr>
      </w:pPr>
      <w:r>
        <w:rPr>
          <w:rFonts w:hint="eastAsia" w:ascii="宋体" w:hAnsi="宋体" w:cs="宋体"/>
          <w:color w:val="auto"/>
          <w:highlight w:val="none"/>
        </w:rPr>
        <w:t>3.2.2 供应商应按磋商报价表（分项价格表）的内容和格式要求填写各项货物及服务及工程的总价（分项价格）。投标总价中不得包含竞争性磋商文件要求以外的内容，否则，在评标时不予核减。投标总价中也不得缺漏竞争性磋商文件所要求的内容，否则，在评标时将其视为无效投标。</w:t>
      </w:r>
    </w:p>
    <w:p w14:paraId="34A1427A">
      <w:pPr>
        <w:spacing w:line="360" w:lineRule="auto"/>
        <w:jc w:val="left"/>
        <w:rPr>
          <w:rFonts w:ascii="宋体" w:hAnsi="宋体" w:cs="宋体"/>
          <w:color w:val="auto"/>
          <w:highlight w:val="none"/>
        </w:rPr>
      </w:pPr>
      <w:r>
        <w:rPr>
          <w:rFonts w:hint="eastAsia" w:ascii="宋体" w:hAnsi="宋体" w:cs="宋体"/>
          <w:color w:val="auto"/>
          <w:highlight w:val="none"/>
        </w:rPr>
        <w:t>3.2.3供应商对每种货物及服务及工程只允许有一个报价，不接受选择性报价，否则，在评标时将其视为无效投标。</w:t>
      </w:r>
    </w:p>
    <w:p w14:paraId="106350A7">
      <w:pPr>
        <w:spacing w:line="360" w:lineRule="auto"/>
        <w:jc w:val="left"/>
        <w:rPr>
          <w:rFonts w:ascii="宋体" w:hAnsi="宋体" w:cs="宋体"/>
          <w:color w:val="auto"/>
          <w:highlight w:val="none"/>
        </w:rPr>
      </w:pPr>
      <w:r>
        <w:rPr>
          <w:rFonts w:hint="eastAsia" w:ascii="宋体" w:hAnsi="宋体" w:cs="宋体"/>
          <w:color w:val="auto"/>
          <w:highlight w:val="none"/>
        </w:rPr>
        <w:t>3.2.4供应商的投标报价不得超过采购项目预算。</w:t>
      </w:r>
    </w:p>
    <w:p w14:paraId="7E319CE4">
      <w:pPr>
        <w:spacing w:line="360" w:lineRule="auto"/>
        <w:jc w:val="left"/>
        <w:rPr>
          <w:rFonts w:ascii="宋体" w:hAnsi="宋体" w:cs="宋体"/>
          <w:color w:val="auto"/>
          <w:highlight w:val="none"/>
        </w:rPr>
      </w:pPr>
      <w:r>
        <w:rPr>
          <w:rFonts w:hint="eastAsia" w:ascii="宋体" w:hAnsi="宋体" w:cs="宋体"/>
          <w:color w:val="auto"/>
          <w:highlight w:val="none"/>
        </w:rPr>
        <w:t>3.2.5供应商无须编制已标价的工程量清单，结算时各单价直接将预算价按照成交下浮率（</w:t>
      </w:r>
      <w:r>
        <w:rPr>
          <w:rFonts w:hint="eastAsia" w:ascii="宋体" w:hAnsi="宋体" w:cs="宋体"/>
          <w:b/>
          <w:color w:val="auto"/>
          <w:highlight w:val="none"/>
        </w:rPr>
        <w:t>特指实际下浮率，</w:t>
      </w:r>
      <w:r>
        <w:rPr>
          <w:rFonts w:hint="eastAsia" w:ascii="宋体" w:hAnsi="宋体" w:cs="宋体"/>
          <w:color w:val="auto"/>
          <w:highlight w:val="none"/>
        </w:rPr>
        <w:t>暂列金额、专业工程暂估价等不可竞争费用不下浮）同步下浮执行。结算时以审计后的实际工程量为准，按实结算。</w:t>
      </w:r>
    </w:p>
    <w:p w14:paraId="261F8B0B">
      <w:pPr>
        <w:spacing w:line="360" w:lineRule="auto"/>
        <w:jc w:val="left"/>
        <w:rPr>
          <w:rFonts w:ascii="宋体" w:hAnsi="宋体" w:cs="宋体"/>
          <w:color w:val="auto"/>
          <w:highlight w:val="none"/>
        </w:rPr>
      </w:pPr>
      <w:r>
        <w:rPr>
          <w:rFonts w:hint="eastAsia" w:ascii="宋体" w:hAnsi="宋体" w:cs="宋体"/>
          <w:color w:val="auto"/>
          <w:highlight w:val="none"/>
        </w:rPr>
        <w:t>3.2.6本项目合同价格形式见供应商须知前附表，各供应商的投标报价应充分考虑“合同条款及格式”所列合同价格风险。</w:t>
      </w:r>
    </w:p>
    <w:p w14:paraId="0523D576">
      <w:pPr>
        <w:spacing w:line="360" w:lineRule="auto"/>
        <w:jc w:val="left"/>
        <w:rPr>
          <w:rFonts w:ascii="宋体" w:hAnsi="宋体" w:cs="宋体"/>
          <w:color w:val="auto"/>
          <w:highlight w:val="none"/>
        </w:rPr>
      </w:pPr>
      <w:r>
        <w:rPr>
          <w:rFonts w:hint="eastAsia" w:ascii="宋体" w:hAnsi="宋体" w:cs="宋体"/>
          <w:color w:val="auto"/>
          <w:highlight w:val="none"/>
        </w:rPr>
        <w:t>3.2.7报价的其他要求：见供应商须知前附表</w:t>
      </w:r>
    </w:p>
    <w:p w14:paraId="663E7578">
      <w:pPr>
        <w:pStyle w:val="286"/>
        <w:spacing w:before="0" w:after="0" w:line="360" w:lineRule="auto"/>
        <w:jc w:val="left"/>
        <w:rPr>
          <w:rFonts w:ascii="宋体" w:hAnsi="宋体" w:cs="宋体"/>
          <w:b/>
          <w:color w:val="auto"/>
          <w:sz w:val="24"/>
          <w:szCs w:val="24"/>
          <w:highlight w:val="none"/>
        </w:rPr>
      </w:pPr>
      <w:bookmarkStart w:id="194" w:name="_Toc383438612"/>
      <w:bookmarkStart w:id="195" w:name="_Toc246996194"/>
      <w:bookmarkStart w:id="196" w:name="_Toc468783608"/>
      <w:bookmarkStart w:id="197" w:name="_Toc343525525"/>
      <w:bookmarkStart w:id="198" w:name="_Toc246996937"/>
      <w:bookmarkStart w:id="199" w:name="_Toc426469890"/>
      <w:bookmarkStart w:id="200" w:name="_Toc144974517"/>
      <w:bookmarkStart w:id="201" w:name="_Toc152042325"/>
      <w:bookmarkStart w:id="202" w:name="_Toc179632567"/>
      <w:bookmarkStart w:id="203" w:name="_Toc152045549"/>
      <w:bookmarkStart w:id="204" w:name="_Toc247085708"/>
      <w:r>
        <w:rPr>
          <w:rFonts w:hint="eastAsia" w:ascii="宋体" w:hAnsi="宋体" w:cs="宋体"/>
          <w:b/>
          <w:color w:val="auto"/>
          <w:sz w:val="24"/>
          <w:szCs w:val="24"/>
          <w:highlight w:val="none"/>
        </w:rPr>
        <w:t>3.3</w:t>
      </w:r>
      <w:bookmarkEnd w:id="194"/>
      <w:bookmarkEnd w:id="195"/>
      <w:bookmarkEnd w:id="196"/>
      <w:bookmarkEnd w:id="197"/>
      <w:bookmarkEnd w:id="198"/>
      <w:bookmarkEnd w:id="199"/>
      <w:bookmarkEnd w:id="200"/>
      <w:bookmarkEnd w:id="201"/>
      <w:bookmarkEnd w:id="202"/>
      <w:bookmarkEnd w:id="203"/>
      <w:bookmarkEnd w:id="204"/>
      <w:r>
        <w:rPr>
          <w:rFonts w:hint="eastAsia" w:ascii="宋体" w:hAnsi="宋体" w:cs="宋体"/>
          <w:b/>
          <w:color w:val="auto"/>
          <w:sz w:val="24"/>
          <w:szCs w:val="24"/>
          <w:highlight w:val="none"/>
        </w:rPr>
        <w:t>响应有效期</w:t>
      </w:r>
    </w:p>
    <w:p w14:paraId="75374A85">
      <w:pPr>
        <w:spacing w:line="360" w:lineRule="auto"/>
        <w:jc w:val="left"/>
        <w:rPr>
          <w:rFonts w:ascii="宋体" w:hAnsi="宋体" w:cs="宋体"/>
          <w:color w:val="auto"/>
          <w:highlight w:val="none"/>
        </w:rPr>
      </w:pPr>
      <w:r>
        <w:rPr>
          <w:rFonts w:hint="eastAsia" w:ascii="宋体" w:hAnsi="宋体" w:cs="宋体"/>
          <w:color w:val="auto"/>
          <w:highlight w:val="none"/>
        </w:rPr>
        <w:t>3.3.1 在供应商须知前附表规定的响应有效期内，供应商不得要求撤销或修改其响应文件。</w:t>
      </w:r>
    </w:p>
    <w:p w14:paraId="7EB22626">
      <w:pPr>
        <w:spacing w:line="360" w:lineRule="auto"/>
        <w:jc w:val="left"/>
        <w:rPr>
          <w:rFonts w:ascii="宋体" w:hAnsi="宋体" w:cs="宋体"/>
          <w:color w:val="auto"/>
          <w:highlight w:val="none"/>
        </w:rPr>
      </w:pPr>
      <w:r>
        <w:rPr>
          <w:rFonts w:hint="eastAsia" w:ascii="宋体" w:hAnsi="宋体" w:cs="宋体"/>
          <w:color w:val="auto"/>
          <w:highlight w:val="none"/>
        </w:rPr>
        <w:t>3.3.2出现特殊情况需要延长响应有效期的，采购人以书面形式通知所有供应商。供应商同意延长的，不得要求或被允许修改或撤销其响应文件；供应商拒绝延长的，其响应文件失效。</w:t>
      </w:r>
    </w:p>
    <w:p w14:paraId="4B7B0AEA">
      <w:pPr>
        <w:pStyle w:val="286"/>
        <w:spacing w:before="0" w:after="0" w:line="360" w:lineRule="auto"/>
        <w:jc w:val="left"/>
        <w:rPr>
          <w:rFonts w:ascii="宋体" w:hAnsi="宋体" w:cs="宋体"/>
          <w:b/>
          <w:color w:val="auto"/>
          <w:sz w:val="24"/>
          <w:szCs w:val="24"/>
          <w:highlight w:val="none"/>
        </w:rPr>
      </w:pPr>
      <w:bookmarkStart w:id="205" w:name="_Toc246996195"/>
      <w:bookmarkStart w:id="206" w:name="_Toc468783609"/>
      <w:bookmarkStart w:id="207" w:name="_Toc152042326"/>
      <w:bookmarkStart w:id="208" w:name="_Toc343525526"/>
      <w:bookmarkStart w:id="209" w:name="_Toc152045550"/>
      <w:bookmarkStart w:id="210" w:name="_Toc383438613"/>
      <w:bookmarkStart w:id="211" w:name="_Toc426469891"/>
      <w:bookmarkStart w:id="212" w:name="_Toc246996938"/>
      <w:bookmarkStart w:id="213" w:name="_Toc179632568"/>
      <w:bookmarkStart w:id="214" w:name="_Toc247085709"/>
      <w:bookmarkStart w:id="215" w:name="_Toc144974518"/>
      <w:r>
        <w:rPr>
          <w:rFonts w:hint="eastAsia" w:ascii="宋体" w:hAnsi="宋体" w:cs="宋体"/>
          <w:b/>
          <w:color w:val="auto"/>
          <w:sz w:val="24"/>
          <w:szCs w:val="24"/>
          <w:highlight w:val="none"/>
        </w:rPr>
        <w:t>3.4 磋商保证金</w:t>
      </w:r>
      <w:bookmarkEnd w:id="205"/>
      <w:bookmarkEnd w:id="206"/>
      <w:bookmarkEnd w:id="207"/>
      <w:bookmarkEnd w:id="208"/>
      <w:bookmarkEnd w:id="209"/>
      <w:bookmarkEnd w:id="210"/>
      <w:bookmarkEnd w:id="211"/>
      <w:bookmarkEnd w:id="212"/>
      <w:bookmarkEnd w:id="213"/>
      <w:bookmarkEnd w:id="214"/>
      <w:bookmarkEnd w:id="215"/>
      <w:r>
        <w:rPr>
          <w:rFonts w:hint="eastAsia" w:ascii="宋体" w:hAnsi="宋体" w:cs="宋体"/>
          <w:b/>
          <w:color w:val="auto"/>
          <w:sz w:val="24"/>
          <w:szCs w:val="24"/>
          <w:highlight w:val="none"/>
        </w:rPr>
        <w:t>（无）</w:t>
      </w:r>
    </w:p>
    <w:p w14:paraId="2FBF46E9">
      <w:pPr>
        <w:spacing w:line="360" w:lineRule="auto"/>
        <w:rPr>
          <w:rFonts w:ascii="宋体" w:hAnsi="宋体" w:cs="宋体"/>
          <w:color w:val="auto"/>
          <w:highlight w:val="none"/>
        </w:rPr>
      </w:pPr>
      <w:r>
        <w:rPr>
          <w:rFonts w:hint="eastAsia" w:ascii="宋体" w:hAnsi="宋体" w:cs="宋体"/>
          <w:color w:val="auto"/>
          <w:highlight w:val="none"/>
        </w:rPr>
        <w:t>3.4.1见供应商须知前附表。</w:t>
      </w:r>
    </w:p>
    <w:p w14:paraId="14A4DF2A">
      <w:pPr>
        <w:pStyle w:val="286"/>
        <w:spacing w:before="0" w:after="0" w:line="360" w:lineRule="auto"/>
        <w:jc w:val="left"/>
        <w:rPr>
          <w:rFonts w:ascii="宋体" w:hAnsi="宋体" w:cs="宋体"/>
          <w:b/>
          <w:color w:val="auto"/>
          <w:sz w:val="24"/>
          <w:szCs w:val="24"/>
          <w:highlight w:val="none"/>
        </w:rPr>
      </w:pPr>
      <w:bookmarkStart w:id="216" w:name="_Toc468783610"/>
      <w:bookmarkStart w:id="217" w:name="_Toc426469892"/>
      <w:r>
        <w:rPr>
          <w:rFonts w:hint="eastAsia" w:ascii="宋体" w:hAnsi="宋体" w:cs="宋体"/>
          <w:b/>
          <w:color w:val="auto"/>
          <w:sz w:val="24"/>
          <w:szCs w:val="24"/>
          <w:highlight w:val="none"/>
        </w:rPr>
        <w:t>3.5响应文件的编制</w:t>
      </w:r>
      <w:bookmarkEnd w:id="216"/>
      <w:bookmarkEnd w:id="217"/>
    </w:p>
    <w:p w14:paraId="4354B512">
      <w:pPr>
        <w:spacing w:line="360" w:lineRule="auto"/>
        <w:jc w:val="left"/>
        <w:rPr>
          <w:rFonts w:ascii="宋体" w:hAnsi="宋体" w:cs="宋体"/>
          <w:color w:val="auto"/>
          <w:highlight w:val="none"/>
        </w:rPr>
      </w:pPr>
      <w:r>
        <w:rPr>
          <w:rFonts w:hint="eastAsia" w:ascii="宋体" w:hAnsi="宋体" w:cs="宋体"/>
          <w:color w:val="auto"/>
          <w:highlight w:val="none"/>
        </w:rPr>
        <w:t>3.5.1响应文件的编制应按第五章“响应文件编制和格式”要求进行编制，供应商需另行增加的，应将相关内容和材料编入响应文件相应章节，作为响应文件的组成部分。</w:t>
      </w:r>
    </w:p>
    <w:p w14:paraId="79B7136C">
      <w:pPr>
        <w:spacing w:line="360" w:lineRule="auto"/>
        <w:jc w:val="left"/>
        <w:rPr>
          <w:rFonts w:ascii="宋体" w:hAnsi="宋体" w:cs="宋体"/>
          <w:color w:val="auto"/>
          <w:highlight w:val="none"/>
        </w:rPr>
      </w:pPr>
      <w:r>
        <w:rPr>
          <w:rFonts w:hint="eastAsia" w:ascii="宋体" w:hAnsi="宋体" w:cs="宋体"/>
          <w:color w:val="auto"/>
          <w:highlight w:val="none"/>
        </w:rPr>
        <w:t>3.5.2 响应文件应当对竞争性磋商文件有关合同工期、响应有效期、技术标准和要求、招标范围等实质性内容作出响应。</w:t>
      </w:r>
    </w:p>
    <w:p w14:paraId="6BA3871E">
      <w:pPr>
        <w:spacing w:line="360" w:lineRule="auto"/>
        <w:jc w:val="left"/>
        <w:rPr>
          <w:rFonts w:ascii="宋体" w:hAnsi="宋体" w:cs="宋体"/>
          <w:color w:val="auto"/>
          <w:highlight w:val="none"/>
        </w:rPr>
      </w:pPr>
      <w:r>
        <w:rPr>
          <w:rFonts w:hint="eastAsia" w:ascii="宋体" w:hAnsi="宋体" w:cs="宋体"/>
          <w:color w:val="auto"/>
          <w:highlight w:val="none"/>
        </w:rPr>
        <w:t>3.5.3响应文件中涉及到的相关的资质、资格、业绩等材料，应按第五章“响应文件编制和格式”规定的方式编入响应文件。</w:t>
      </w:r>
    </w:p>
    <w:p w14:paraId="1B22760B">
      <w:pPr>
        <w:pStyle w:val="286"/>
        <w:spacing w:before="0" w:after="0" w:line="360" w:lineRule="auto"/>
        <w:jc w:val="left"/>
        <w:rPr>
          <w:rFonts w:ascii="宋体" w:hAnsi="宋体" w:cs="宋体"/>
          <w:b/>
          <w:color w:val="auto"/>
          <w:sz w:val="24"/>
          <w:szCs w:val="24"/>
          <w:highlight w:val="none"/>
        </w:rPr>
      </w:pPr>
      <w:bookmarkStart w:id="218" w:name="_Toc426469893"/>
      <w:bookmarkStart w:id="219" w:name="_Toc468783611"/>
      <w:bookmarkStart w:id="220" w:name="_Toc367785014"/>
      <w:r>
        <w:rPr>
          <w:rFonts w:hint="eastAsia" w:ascii="宋体" w:hAnsi="宋体" w:cs="宋体"/>
          <w:b/>
          <w:color w:val="auto"/>
          <w:sz w:val="24"/>
          <w:szCs w:val="24"/>
          <w:highlight w:val="none"/>
        </w:rPr>
        <w:t>3.6响应文件的数量和签署</w:t>
      </w:r>
      <w:bookmarkEnd w:id="218"/>
      <w:bookmarkEnd w:id="219"/>
      <w:bookmarkEnd w:id="220"/>
    </w:p>
    <w:p w14:paraId="5F1F51D8">
      <w:pPr>
        <w:spacing w:line="360" w:lineRule="auto"/>
        <w:jc w:val="left"/>
        <w:rPr>
          <w:rFonts w:ascii="宋体" w:hAnsi="宋体" w:cs="宋体"/>
          <w:color w:val="auto"/>
          <w:highlight w:val="none"/>
        </w:rPr>
      </w:pPr>
      <w:bookmarkStart w:id="221" w:name="_Toc426469895"/>
      <w:bookmarkStart w:id="222" w:name="_Toc383438617"/>
      <w:bookmarkStart w:id="223" w:name="_Toc179632573"/>
      <w:bookmarkStart w:id="224" w:name="_Toc246996199"/>
      <w:bookmarkStart w:id="225" w:name="_Toc144974523"/>
      <w:bookmarkStart w:id="226" w:name="_Toc247085713"/>
      <w:bookmarkStart w:id="227" w:name="_Toc152042331"/>
      <w:bookmarkStart w:id="228" w:name="_Toc152045555"/>
      <w:bookmarkStart w:id="229" w:name="_Toc246996942"/>
      <w:bookmarkStart w:id="230" w:name="_Toc343525529"/>
      <w:bookmarkStart w:id="231" w:name="_Toc468783613"/>
      <w:r>
        <w:rPr>
          <w:rFonts w:hint="eastAsia" w:ascii="宋体" w:hAnsi="宋体" w:cs="宋体"/>
          <w:color w:val="auto"/>
          <w:highlight w:val="none"/>
        </w:rPr>
        <w:t>3.6.1见供应商须知前附表。</w:t>
      </w:r>
    </w:p>
    <w:p w14:paraId="07AD6CD1">
      <w:pPr>
        <w:spacing w:line="360" w:lineRule="auto"/>
        <w:jc w:val="left"/>
        <w:rPr>
          <w:rFonts w:ascii="宋体" w:hAnsi="宋体" w:cs="宋体"/>
          <w:color w:val="auto"/>
          <w:highlight w:val="none"/>
        </w:rPr>
      </w:pPr>
      <w:r>
        <w:rPr>
          <w:rFonts w:hint="eastAsia" w:ascii="宋体" w:hAnsi="宋体" w:cs="宋体"/>
          <w:color w:val="auto"/>
          <w:highlight w:val="none"/>
        </w:rPr>
        <w:t>3.6.2响应文件的签署：响应函、供应商基本资格条件承诺书、中小企业声明函（若需）及其他第五章“响应文件编制和格式”中要求签字盖章处须加盖供应商法人章并经法定代表人或经其授权的代表</w:t>
      </w:r>
      <w:r>
        <w:rPr>
          <w:rFonts w:hint="eastAsia" w:ascii="宋体" w:hAnsi="宋体" w:cs="宋体"/>
          <w:color w:val="auto"/>
          <w:highlight w:val="none"/>
          <w:lang w:eastAsia="zh-CN"/>
        </w:rPr>
        <w:t>签字或盖章</w:t>
      </w:r>
      <w:r>
        <w:rPr>
          <w:rFonts w:hint="eastAsia" w:ascii="宋体" w:hAnsi="宋体" w:cs="宋体"/>
          <w:color w:val="auto"/>
          <w:highlight w:val="none"/>
        </w:rPr>
        <w:t>。授权代表</w:t>
      </w:r>
      <w:r>
        <w:rPr>
          <w:rFonts w:hint="eastAsia" w:ascii="宋体" w:hAnsi="宋体" w:cs="宋体"/>
          <w:color w:val="auto"/>
          <w:highlight w:val="none"/>
          <w:lang w:eastAsia="zh-CN"/>
        </w:rPr>
        <w:t>签字或盖章</w:t>
      </w:r>
      <w:r>
        <w:rPr>
          <w:rFonts w:hint="eastAsia" w:ascii="宋体" w:hAnsi="宋体" w:cs="宋体"/>
          <w:color w:val="auto"/>
          <w:highlight w:val="none"/>
        </w:rPr>
        <w:t>时，须将《法定代表人授权书》及其附件编制在响应文件中。</w:t>
      </w:r>
      <w:bookmarkEnd w:id="221"/>
      <w:bookmarkEnd w:id="222"/>
      <w:bookmarkEnd w:id="223"/>
      <w:bookmarkEnd w:id="224"/>
      <w:bookmarkEnd w:id="225"/>
      <w:bookmarkEnd w:id="226"/>
      <w:bookmarkEnd w:id="227"/>
      <w:bookmarkEnd w:id="228"/>
      <w:bookmarkEnd w:id="229"/>
      <w:bookmarkEnd w:id="230"/>
      <w:bookmarkEnd w:id="231"/>
    </w:p>
    <w:p w14:paraId="132B43C2">
      <w:pPr>
        <w:pStyle w:val="286"/>
        <w:spacing w:before="0" w:after="0" w:line="360" w:lineRule="auto"/>
        <w:jc w:val="left"/>
        <w:rPr>
          <w:rFonts w:ascii="宋体" w:hAnsi="宋体" w:cs="宋体"/>
          <w:b/>
          <w:color w:val="auto"/>
          <w:sz w:val="24"/>
          <w:szCs w:val="24"/>
          <w:highlight w:val="none"/>
        </w:rPr>
      </w:pPr>
      <w:bookmarkStart w:id="232" w:name="_Toc468783614"/>
      <w:bookmarkStart w:id="233" w:name="_Toc383438618"/>
      <w:bookmarkStart w:id="234" w:name="_Toc246996943"/>
      <w:bookmarkStart w:id="235" w:name="_Toc144974524"/>
      <w:bookmarkStart w:id="236" w:name="_Toc426469896"/>
      <w:bookmarkStart w:id="237" w:name="_Toc152045556"/>
      <w:bookmarkStart w:id="238" w:name="_Toc179632574"/>
      <w:bookmarkStart w:id="239" w:name="_Toc343525530"/>
      <w:bookmarkStart w:id="240" w:name="_Toc152042332"/>
      <w:bookmarkStart w:id="241" w:name="_Toc246996200"/>
      <w:bookmarkStart w:id="242" w:name="_Toc247085714"/>
      <w:r>
        <w:rPr>
          <w:rFonts w:hint="eastAsia" w:ascii="宋体" w:hAnsi="宋体" w:cs="宋体"/>
          <w:b/>
          <w:color w:val="auto"/>
          <w:sz w:val="24"/>
          <w:szCs w:val="24"/>
          <w:highlight w:val="none"/>
        </w:rPr>
        <w:t>3.7响应文件的递交</w:t>
      </w:r>
      <w:bookmarkEnd w:id="232"/>
      <w:bookmarkEnd w:id="233"/>
      <w:bookmarkEnd w:id="234"/>
      <w:bookmarkEnd w:id="235"/>
      <w:bookmarkEnd w:id="236"/>
      <w:bookmarkEnd w:id="237"/>
      <w:bookmarkEnd w:id="238"/>
      <w:bookmarkEnd w:id="239"/>
      <w:bookmarkEnd w:id="240"/>
      <w:bookmarkEnd w:id="241"/>
      <w:bookmarkEnd w:id="242"/>
    </w:p>
    <w:p w14:paraId="7B1E83C9">
      <w:pPr>
        <w:spacing w:line="360" w:lineRule="auto"/>
        <w:jc w:val="left"/>
        <w:rPr>
          <w:rFonts w:ascii="宋体" w:hAnsi="宋体" w:cs="宋体"/>
          <w:color w:val="auto"/>
          <w:highlight w:val="none"/>
        </w:rPr>
      </w:pPr>
      <w:bookmarkStart w:id="243" w:name="_Toc343525531"/>
      <w:bookmarkStart w:id="244" w:name="_Toc152045557"/>
      <w:bookmarkStart w:id="245" w:name="_Toc152042333"/>
      <w:bookmarkStart w:id="246" w:name="_Toc179632575"/>
      <w:bookmarkStart w:id="247" w:name="_Toc247085715"/>
      <w:bookmarkStart w:id="248" w:name="_Toc144974525"/>
      <w:bookmarkStart w:id="249" w:name="_Toc246996944"/>
      <w:bookmarkStart w:id="250" w:name="_Toc383438619"/>
      <w:bookmarkStart w:id="251" w:name="_Toc246996201"/>
      <w:r>
        <w:rPr>
          <w:rFonts w:hint="eastAsia" w:ascii="宋体" w:hAnsi="宋体" w:cs="宋体"/>
          <w:color w:val="auto"/>
          <w:highlight w:val="none"/>
        </w:rPr>
        <w:t>3.7.1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p>
    <w:p w14:paraId="5C8D7F29">
      <w:pPr>
        <w:pStyle w:val="286"/>
        <w:spacing w:before="0" w:after="0" w:line="360" w:lineRule="auto"/>
        <w:jc w:val="left"/>
        <w:rPr>
          <w:rFonts w:ascii="宋体" w:hAnsi="宋体" w:cs="宋体"/>
          <w:b/>
          <w:color w:val="auto"/>
          <w:sz w:val="24"/>
          <w:szCs w:val="24"/>
          <w:highlight w:val="none"/>
        </w:rPr>
      </w:pPr>
      <w:bookmarkStart w:id="252" w:name="_Toc426469897"/>
      <w:bookmarkStart w:id="253" w:name="_Toc468783615"/>
      <w:r>
        <w:rPr>
          <w:rFonts w:hint="eastAsia" w:ascii="宋体" w:hAnsi="宋体" w:cs="宋体"/>
          <w:b/>
          <w:color w:val="auto"/>
          <w:sz w:val="24"/>
          <w:szCs w:val="24"/>
          <w:highlight w:val="none"/>
        </w:rPr>
        <w:t>3.8响应文件的修改与撤回</w:t>
      </w:r>
      <w:bookmarkEnd w:id="243"/>
      <w:bookmarkEnd w:id="244"/>
      <w:bookmarkEnd w:id="245"/>
      <w:bookmarkEnd w:id="246"/>
      <w:bookmarkEnd w:id="247"/>
      <w:bookmarkEnd w:id="248"/>
      <w:bookmarkEnd w:id="249"/>
      <w:bookmarkEnd w:id="250"/>
      <w:bookmarkEnd w:id="251"/>
      <w:bookmarkEnd w:id="252"/>
      <w:bookmarkEnd w:id="253"/>
    </w:p>
    <w:p w14:paraId="4A573CC9">
      <w:pPr>
        <w:spacing w:line="360" w:lineRule="auto"/>
        <w:jc w:val="left"/>
        <w:rPr>
          <w:rFonts w:ascii="宋体" w:hAnsi="宋体" w:cs="宋体"/>
          <w:color w:val="auto"/>
          <w:highlight w:val="none"/>
        </w:rPr>
      </w:pPr>
      <w:r>
        <w:rPr>
          <w:rFonts w:hint="eastAsia" w:ascii="宋体" w:hAnsi="宋体" w:cs="宋体"/>
          <w:color w:val="auto"/>
          <w:highlight w:val="none"/>
        </w:rPr>
        <w:t>3.8.1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bookmarkEnd w:id="42"/>
    </w:p>
    <w:p w14:paraId="23F085F4">
      <w:pPr>
        <w:pStyle w:val="286"/>
        <w:spacing w:before="0" w:after="0" w:line="360" w:lineRule="auto"/>
        <w:jc w:val="left"/>
        <w:rPr>
          <w:rFonts w:ascii="宋体" w:hAnsi="宋体" w:cs="宋体"/>
          <w:b/>
          <w:color w:val="auto"/>
          <w:sz w:val="24"/>
          <w:szCs w:val="24"/>
          <w:highlight w:val="none"/>
        </w:rPr>
      </w:pPr>
      <w:bookmarkStart w:id="254" w:name="_Toc144974527"/>
      <w:bookmarkStart w:id="255" w:name="_Toc426469898"/>
      <w:bookmarkStart w:id="256" w:name="_Toc152045559"/>
      <w:bookmarkStart w:id="257" w:name="_Toc383438620"/>
      <w:bookmarkStart w:id="258" w:name="_Toc247085717"/>
      <w:bookmarkStart w:id="259" w:name="_Toc343525532"/>
      <w:bookmarkStart w:id="260" w:name="_Toc152042335"/>
      <w:bookmarkStart w:id="261" w:name="_Toc468783616"/>
      <w:bookmarkStart w:id="262" w:name="_Toc246996203"/>
      <w:bookmarkStart w:id="263" w:name="_Toc179632577"/>
      <w:bookmarkStart w:id="264" w:name="_Toc246996946"/>
      <w:r>
        <w:rPr>
          <w:rFonts w:hint="eastAsia" w:ascii="宋体" w:hAnsi="宋体" w:cs="宋体"/>
          <w:b/>
          <w:color w:val="auto"/>
          <w:sz w:val="24"/>
          <w:szCs w:val="24"/>
          <w:highlight w:val="none"/>
        </w:rPr>
        <w:t>3.9响应文件的确认</w:t>
      </w:r>
    </w:p>
    <w:p w14:paraId="57F7B63F">
      <w:pPr>
        <w:spacing w:line="360" w:lineRule="auto"/>
        <w:jc w:val="left"/>
        <w:rPr>
          <w:rFonts w:ascii="宋体" w:hAnsi="宋体" w:cs="宋体"/>
          <w:color w:val="auto"/>
          <w:highlight w:val="none"/>
        </w:rPr>
      </w:pPr>
      <w:r>
        <w:rPr>
          <w:rFonts w:hint="eastAsia" w:ascii="宋体" w:hAnsi="宋体" w:cs="宋体"/>
          <w:color w:val="auto"/>
          <w:highlight w:val="none"/>
        </w:rPr>
        <w:t>3.9.1供应商可以通过江苏省政府采购管理交易系统（苏采云）多次上传响应文件，以规定的提交首次响应文件截止时间前，江苏省政府采购管理交易系统（苏采云）接受到的最后一份响应文件为准。</w:t>
      </w:r>
    </w:p>
    <w:p w14:paraId="110007D0">
      <w:pPr>
        <w:pStyle w:val="286"/>
        <w:spacing w:before="0" w:after="0" w:line="360" w:lineRule="auto"/>
        <w:jc w:val="left"/>
        <w:rPr>
          <w:rFonts w:ascii="宋体" w:hAnsi="宋体" w:cs="宋体"/>
          <w:b/>
          <w:color w:val="auto"/>
          <w:sz w:val="24"/>
          <w:szCs w:val="24"/>
          <w:highlight w:val="none"/>
        </w:rPr>
      </w:pPr>
      <w:r>
        <w:rPr>
          <w:rFonts w:hint="eastAsia" w:ascii="宋体" w:hAnsi="宋体" w:cs="宋体"/>
          <w:b/>
          <w:color w:val="auto"/>
          <w:sz w:val="24"/>
          <w:szCs w:val="24"/>
          <w:highlight w:val="none"/>
        </w:rPr>
        <w:t>3.10响应文件的拒收</w:t>
      </w:r>
    </w:p>
    <w:p w14:paraId="0684A0DD">
      <w:pPr>
        <w:spacing w:line="360" w:lineRule="auto"/>
        <w:jc w:val="left"/>
        <w:rPr>
          <w:rFonts w:ascii="宋体" w:hAnsi="宋体" w:cs="宋体"/>
          <w:color w:val="auto"/>
          <w:highlight w:val="none"/>
        </w:rPr>
      </w:pPr>
      <w:r>
        <w:rPr>
          <w:rFonts w:hint="eastAsia" w:ascii="宋体" w:hAnsi="宋体" w:cs="宋体"/>
          <w:color w:val="auto"/>
          <w:highlight w:val="none"/>
        </w:rPr>
        <w:t>3.10.1在规定的提交首次响应文件截止时间后，江苏省政府采购管理交易系统（苏采云）将不再接受响应文件的上传。</w:t>
      </w:r>
    </w:p>
    <w:p w14:paraId="7DCBB7A4">
      <w:pPr>
        <w:pStyle w:val="282"/>
        <w:spacing w:before="0" w:after="0"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 </w:t>
      </w:r>
      <w:bookmarkEnd w:id="254"/>
      <w:bookmarkEnd w:id="255"/>
      <w:bookmarkEnd w:id="256"/>
      <w:bookmarkEnd w:id="257"/>
      <w:bookmarkEnd w:id="258"/>
      <w:bookmarkEnd w:id="259"/>
      <w:bookmarkEnd w:id="260"/>
      <w:bookmarkEnd w:id="261"/>
      <w:bookmarkEnd w:id="262"/>
      <w:bookmarkEnd w:id="263"/>
      <w:bookmarkEnd w:id="264"/>
      <w:r>
        <w:rPr>
          <w:rFonts w:hint="eastAsia" w:ascii="宋体" w:hAnsi="宋体" w:eastAsia="宋体" w:cs="宋体"/>
          <w:b/>
          <w:color w:val="auto"/>
          <w:sz w:val="24"/>
          <w:szCs w:val="24"/>
          <w:highlight w:val="none"/>
        </w:rPr>
        <w:t>响应文件的开启</w:t>
      </w:r>
    </w:p>
    <w:p w14:paraId="5D3721F1">
      <w:pPr>
        <w:pStyle w:val="286"/>
        <w:spacing w:before="0" w:after="0" w:line="360" w:lineRule="auto"/>
        <w:jc w:val="left"/>
        <w:rPr>
          <w:rFonts w:ascii="宋体" w:hAnsi="宋体" w:cs="宋体"/>
          <w:b/>
          <w:color w:val="auto"/>
          <w:sz w:val="24"/>
          <w:szCs w:val="24"/>
          <w:highlight w:val="none"/>
        </w:rPr>
      </w:pPr>
      <w:bookmarkStart w:id="265" w:name="_Toc179632578"/>
      <w:bookmarkStart w:id="266" w:name="_Toc246996947"/>
      <w:bookmarkStart w:id="267" w:name="_Toc247085718"/>
      <w:bookmarkStart w:id="268" w:name="_Toc144974528"/>
      <w:bookmarkStart w:id="269" w:name="_Toc152042336"/>
      <w:bookmarkStart w:id="270" w:name="_Toc383438621"/>
      <w:bookmarkStart w:id="271" w:name="_Toc468783617"/>
      <w:bookmarkStart w:id="272" w:name="_Toc246996204"/>
      <w:bookmarkStart w:id="273" w:name="_Toc152045560"/>
      <w:bookmarkStart w:id="274" w:name="_Toc343525533"/>
      <w:bookmarkStart w:id="275" w:name="_Toc426469899"/>
      <w:r>
        <w:rPr>
          <w:rFonts w:hint="eastAsia" w:ascii="宋体" w:hAnsi="宋体" w:cs="宋体"/>
          <w:b/>
          <w:color w:val="auto"/>
          <w:sz w:val="24"/>
          <w:szCs w:val="24"/>
          <w:highlight w:val="none"/>
        </w:rPr>
        <w:t xml:space="preserve">4.1 </w:t>
      </w:r>
      <w:bookmarkEnd w:id="265"/>
      <w:bookmarkEnd w:id="266"/>
      <w:bookmarkEnd w:id="267"/>
      <w:bookmarkEnd w:id="268"/>
      <w:bookmarkEnd w:id="269"/>
      <w:bookmarkEnd w:id="270"/>
      <w:bookmarkEnd w:id="271"/>
      <w:bookmarkEnd w:id="272"/>
      <w:bookmarkEnd w:id="273"/>
      <w:bookmarkEnd w:id="274"/>
      <w:bookmarkEnd w:id="275"/>
      <w:r>
        <w:rPr>
          <w:rFonts w:hint="eastAsia" w:ascii="宋体" w:hAnsi="宋体" w:cs="宋体"/>
          <w:b/>
          <w:color w:val="auto"/>
          <w:sz w:val="24"/>
          <w:szCs w:val="24"/>
          <w:highlight w:val="none"/>
        </w:rPr>
        <w:t>响应文件的开启</w:t>
      </w:r>
    </w:p>
    <w:p w14:paraId="6B700A15">
      <w:pPr>
        <w:spacing w:line="360" w:lineRule="auto"/>
        <w:jc w:val="left"/>
        <w:rPr>
          <w:rFonts w:ascii="宋体" w:hAnsi="宋体" w:cs="宋体"/>
          <w:color w:val="auto"/>
          <w:highlight w:val="none"/>
        </w:rPr>
      </w:pPr>
      <w:r>
        <w:rPr>
          <w:rFonts w:hint="eastAsia" w:ascii="宋体" w:hAnsi="宋体" w:cs="宋体"/>
          <w:color w:val="auto"/>
          <w:highlight w:val="none"/>
        </w:rPr>
        <w:t>4.1.1响应文件的开启将在“苏采云”系统“开标大厅”内公开进行，供应商应当按照《江苏省政府采购管理交易系统（苏采云）供应商操作手册》规定参加，并在规定的时间内解密响应文件。</w:t>
      </w:r>
    </w:p>
    <w:p w14:paraId="5BB3D051">
      <w:pPr>
        <w:pStyle w:val="286"/>
        <w:spacing w:before="0" w:after="0" w:line="360" w:lineRule="auto"/>
        <w:jc w:val="left"/>
        <w:rPr>
          <w:rFonts w:ascii="宋体" w:hAnsi="宋体" w:cs="宋体"/>
          <w:b/>
          <w:color w:val="auto"/>
          <w:sz w:val="24"/>
          <w:szCs w:val="24"/>
          <w:highlight w:val="none"/>
        </w:rPr>
      </w:pPr>
      <w:bookmarkStart w:id="276" w:name="_Toc246996205"/>
      <w:bookmarkStart w:id="277" w:name="_Toc247085719"/>
      <w:bookmarkStart w:id="278" w:name="_Toc152042337"/>
      <w:bookmarkStart w:id="279" w:name="_Toc152045561"/>
      <w:bookmarkStart w:id="280" w:name="_Toc246996948"/>
      <w:bookmarkStart w:id="281" w:name="_Toc468783618"/>
      <w:bookmarkStart w:id="282" w:name="_Toc383438622"/>
      <w:bookmarkStart w:id="283" w:name="_Toc426469900"/>
      <w:bookmarkStart w:id="284" w:name="_Toc179632579"/>
      <w:bookmarkStart w:id="285" w:name="_Toc343525534"/>
      <w:bookmarkStart w:id="286" w:name="_Toc144974529"/>
      <w:r>
        <w:rPr>
          <w:rFonts w:hint="eastAsia" w:ascii="宋体" w:hAnsi="宋体" w:cs="宋体"/>
          <w:b/>
          <w:color w:val="auto"/>
          <w:sz w:val="24"/>
          <w:szCs w:val="24"/>
          <w:highlight w:val="none"/>
        </w:rPr>
        <w:t>4.2 特殊情况的处置</w:t>
      </w:r>
    </w:p>
    <w:p w14:paraId="68752B10">
      <w:pPr>
        <w:spacing w:line="360" w:lineRule="auto"/>
        <w:jc w:val="left"/>
        <w:rPr>
          <w:rFonts w:ascii="宋体" w:hAnsi="宋体" w:cs="宋体"/>
          <w:color w:val="auto"/>
          <w:highlight w:val="none"/>
        </w:rPr>
      </w:pPr>
      <w:r>
        <w:rPr>
          <w:rFonts w:hint="eastAsia" w:ascii="宋体" w:hAnsi="宋体" w:cs="宋体"/>
          <w:color w:val="auto"/>
          <w:highlight w:val="none"/>
        </w:rPr>
        <w:t>4.2.1在提交响应文件截止时间后，不见面开标系统出现下列情况之一时，响应文件未开启的，暂停开启活动；正在开启的，立即暂停，待系统恢复正常后再组织。</w:t>
      </w:r>
    </w:p>
    <w:p w14:paraId="074943D0">
      <w:pPr>
        <w:spacing w:line="360" w:lineRule="auto"/>
        <w:jc w:val="left"/>
        <w:rPr>
          <w:rFonts w:ascii="宋体" w:hAnsi="宋体" w:cs="宋体"/>
          <w:color w:val="auto"/>
          <w:highlight w:val="none"/>
        </w:rPr>
      </w:pPr>
      <w:r>
        <w:rPr>
          <w:rFonts w:hint="eastAsia" w:ascii="宋体" w:hAnsi="宋体" w:cs="宋体"/>
          <w:color w:val="auto"/>
          <w:highlight w:val="none"/>
        </w:rPr>
        <w:t>（1）系统服务器发生故障，无法访问或无法使用系统；</w:t>
      </w:r>
    </w:p>
    <w:p w14:paraId="3D0D8B2F">
      <w:pPr>
        <w:spacing w:line="360" w:lineRule="auto"/>
        <w:jc w:val="left"/>
        <w:rPr>
          <w:rFonts w:ascii="宋体" w:hAnsi="宋体" w:cs="宋体"/>
          <w:color w:val="auto"/>
          <w:highlight w:val="none"/>
        </w:rPr>
      </w:pPr>
      <w:r>
        <w:rPr>
          <w:rFonts w:hint="eastAsia" w:ascii="宋体" w:hAnsi="宋体" w:cs="宋体"/>
          <w:color w:val="auto"/>
          <w:highlight w:val="none"/>
        </w:rPr>
        <w:t>（2）系统的软件或数据库出现错误，不能进行正常操作；</w:t>
      </w:r>
    </w:p>
    <w:p w14:paraId="5C663A28">
      <w:pPr>
        <w:spacing w:line="360" w:lineRule="auto"/>
        <w:jc w:val="left"/>
        <w:rPr>
          <w:rFonts w:ascii="宋体" w:hAnsi="宋体" w:cs="宋体"/>
          <w:color w:val="auto"/>
          <w:highlight w:val="none"/>
        </w:rPr>
      </w:pPr>
      <w:r>
        <w:rPr>
          <w:rFonts w:hint="eastAsia" w:ascii="宋体" w:hAnsi="宋体" w:cs="宋体"/>
          <w:color w:val="auto"/>
          <w:highlight w:val="none"/>
        </w:rPr>
        <w:t>（3）系统发现有安全漏洞，有潜在的泄密危险；</w:t>
      </w:r>
    </w:p>
    <w:p w14:paraId="61C97469">
      <w:pPr>
        <w:spacing w:line="360" w:lineRule="auto"/>
        <w:jc w:val="left"/>
        <w:rPr>
          <w:rFonts w:ascii="宋体" w:hAnsi="宋体" w:cs="宋体"/>
          <w:color w:val="auto"/>
          <w:highlight w:val="none"/>
        </w:rPr>
      </w:pPr>
      <w:r>
        <w:rPr>
          <w:rFonts w:hint="eastAsia" w:ascii="宋体" w:hAnsi="宋体" w:cs="宋体"/>
          <w:color w:val="auto"/>
          <w:highlight w:val="none"/>
        </w:rPr>
        <w:t>（4）其他无法保证信息安全的情形。</w:t>
      </w:r>
    </w:p>
    <w:p w14:paraId="6D0D98D6">
      <w:pPr>
        <w:spacing w:line="360" w:lineRule="auto"/>
        <w:jc w:val="left"/>
        <w:rPr>
          <w:rFonts w:ascii="宋体" w:hAnsi="宋体" w:cs="宋体"/>
          <w:color w:val="auto"/>
          <w:highlight w:val="none"/>
        </w:rPr>
      </w:pPr>
      <w:r>
        <w:rPr>
          <w:rFonts w:hint="eastAsia" w:ascii="宋体" w:hAnsi="宋体" w:cs="宋体"/>
          <w:color w:val="auto"/>
          <w:highlight w:val="none"/>
        </w:rPr>
        <w:t>4.2.2因供应商自身原因造成响应文件无法解密的，视为撤销响应文件。</w:t>
      </w:r>
    </w:p>
    <w:p w14:paraId="7278CDA7">
      <w:pPr>
        <w:spacing w:line="360" w:lineRule="auto"/>
        <w:jc w:val="left"/>
        <w:rPr>
          <w:rFonts w:ascii="宋体" w:hAnsi="宋体" w:cs="宋体"/>
          <w:color w:val="auto"/>
          <w:highlight w:val="none"/>
        </w:rPr>
      </w:pPr>
      <w:r>
        <w:rPr>
          <w:rFonts w:hint="eastAsia" w:ascii="宋体" w:hAnsi="宋体" w:cs="宋体"/>
          <w:color w:val="auto"/>
          <w:highlight w:val="none"/>
        </w:rPr>
        <w:t>4.2.3供应商对响应文件开启活动或开启结果等有疑义的，可向采购人提出。</w:t>
      </w:r>
    </w:p>
    <w:p w14:paraId="394C0AEA">
      <w:pPr>
        <w:spacing w:line="360" w:lineRule="auto"/>
        <w:jc w:val="left"/>
        <w:rPr>
          <w:rFonts w:ascii="宋体" w:hAnsi="宋体" w:cs="宋体"/>
          <w:color w:val="auto"/>
          <w:highlight w:val="none"/>
        </w:rPr>
      </w:pPr>
      <w:r>
        <w:rPr>
          <w:rFonts w:hint="eastAsia" w:ascii="宋体" w:hAnsi="宋体" w:cs="宋体"/>
          <w:color w:val="auto"/>
          <w:highlight w:val="none"/>
        </w:rPr>
        <w:t>4.2.4供应商未在系统中确认开启结果的，视同认可开启结果。</w:t>
      </w:r>
      <w:bookmarkEnd w:id="276"/>
      <w:bookmarkEnd w:id="277"/>
      <w:bookmarkEnd w:id="278"/>
      <w:bookmarkEnd w:id="279"/>
      <w:bookmarkEnd w:id="280"/>
      <w:bookmarkEnd w:id="281"/>
      <w:bookmarkEnd w:id="282"/>
      <w:bookmarkEnd w:id="283"/>
      <w:bookmarkEnd w:id="284"/>
      <w:bookmarkEnd w:id="285"/>
      <w:bookmarkEnd w:id="286"/>
    </w:p>
    <w:p w14:paraId="20786DAE">
      <w:pPr>
        <w:pStyle w:val="282"/>
        <w:spacing w:before="0" w:after="0" w:line="360" w:lineRule="auto"/>
        <w:rPr>
          <w:rFonts w:ascii="宋体" w:hAnsi="宋体" w:eastAsia="宋体" w:cs="宋体"/>
          <w:b/>
          <w:color w:val="auto"/>
          <w:sz w:val="24"/>
          <w:szCs w:val="24"/>
          <w:highlight w:val="none"/>
        </w:rPr>
      </w:pPr>
      <w:bookmarkStart w:id="287" w:name="_Toc343525537"/>
      <w:bookmarkStart w:id="288" w:name="_Toc468783620"/>
      <w:bookmarkStart w:id="289" w:name="_Toc152042338"/>
      <w:bookmarkStart w:id="290" w:name="_Toc383438625"/>
      <w:bookmarkStart w:id="291" w:name="_Toc246996949"/>
      <w:bookmarkStart w:id="292" w:name="_Toc426469902"/>
      <w:bookmarkStart w:id="293" w:name="_Toc247085720"/>
      <w:bookmarkStart w:id="294" w:name="_Toc246996206"/>
      <w:bookmarkStart w:id="295" w:name="_Toc179632580"/>
      <w:bookmarkStart w:id="296" w:name="_Toc152045562"/>
      <w:bookmarkStart w:id="297" w:name="_Toc144974530"/>
      <w:r>
        <w:rPr>
          <w:rFonts w:hint="eastAsia" w:ascii="宋体" w:hAnsi="宋体" w:eastAsia="宋体" w:cs="宋体"/>
          <w:b/>
          <w:color w:val="auto"/>
          <w:sz w:val="24"/>
          <w:szCs w:val="24"/>
          <w:highlight w:val="none"/>
        </w:rPr>
        <w:t xml:space="preserve">5. </w:t>
      </w:r>
      <w:bookmarkEnd w:id="287"/>
      <w:bookmarkEnd w:id="288"/>
      <w:bookmarkEnd w:id="289"/>
      <w:bookmarkEnd w:id="290"/>
      <w:bookmarkEnd w:id="291"/>
      <w:bookmarkEnd w:id="292"/>
      <w:bookmarkEnd w:id="293"/>
      <w:bookmarkEnd w:id="294"/>
      <w:bookmarkEnd w:id="295"/>
      <w:bookmarkEnd w:id="296"/>
      <w:bookmarkEnd w:id="297"/>
      <w:r>
        <w:rPr>
          <w:rFonts w:hint="eastAsia" w:ascii="宋体" w:hAnsi="宋体" w:eastAsia="宋体" w:cs="宋体"/>
          <w:b/>
          <w:color w:val="auto"/>
          <w:sz w:val="24"/>
          <w:szCs w:val="24"/>
          <w:highlight w:val="none"/>
        </w:rPr>
        <w:t>响应文件的评审</w:t>
      </w:r>
    </w:p>
    <w:p w14:paraId="4F86DA32">
      <w:pPr>
        <w:pStyle w:val="286"/>
        <w:spacing w:before="0" w:after="0" w:line="360" w:lineRule="auto"/>
        <w:jc w:val="left"/>
        <w:rPr>
          <w:rFonts w:ascii="宋体" w:hAnsi="宋体" w:cs="宋体"/>
          <w:b/>
          <w:color w:val="auto"/>
          <w:sz w:val="24"/>
          <w:szCs w:val="24"/>
          <w:highlight w:val="none"/>
        </w:rPr>
      </w:pPr>
      <w:bookmarkStart w:id="298" w:name="_Toc383438626"/>
      <w:bookmarkStart w:id="299" w:name="_Toc152042339"/>
      <w:bookmarkStart w:id="300" w:name="_Toc144974531"/>
      <w:bookmarkStart w:id="301" w:name="_Toc247085721"/>
      <w:bookmarkStart w:id="302" w:name="_Toc246996207"/>
      <w:bookmarkStart w:id="303" w:name="_Toc468783621"/>
      <w:bookmarkStart w:id="304" w:name="_Toc426469903"/>
      <w:bookmarkStart w:id="305" w:name="_Toc152045563"/>
      <w:bookmarkStart w:id="306" w:name="_Toc179632581"/>
      <w:bookmarkStart w:id="307" w:name="_Toc246996950"/>
      <w:bookmarkStart w:id="308" w:name="_Toc343525538"/>
      <w:r>
        <w:rPr>
          <w:rFonts w:hint="eastAsia" w:ascii="宋体" w:hAnsi="宋体" w:cs="宋体"/>
          <w:b/>
          <w:color w:val="auto"/>
          <w:sz w:val="24"/>
          <w:szCs w:val="24"/>
          <w:highlight w:val="none"/>
        </w:rPr>
        <w:t xml:space="preserve">5.1 </w:t>
      </w:r>
      <w:bookmarkEnd w:id="298"/>
      <w:bookmarkEnd w:id="299"/>
      <w:bookmarkEnd w:id="300"/>
      <w:bookmarkEnd w:id="301"/>
      <w:bookmarkEnd w:id="302"/>
      <w:bookmarkEnd w:id="303"/>
      <w:bookmarkEnd w:id="304"/>
      <w:bookmarkEnd w:id="305"/>
      <w:bookmarkEnd w:id="306"/>
      <w:bookmarkEnd w:id="307"/>
      <w:bookmarkEnd w:id="308"/>
      <w:r>
        <w:rPr>
          <w:rFonts w:hint="eastAsia" w:ascii="宋体" w:hAnsi="宋体" w:cs="宋体"/>
          <w:b/>
          <w:color w:val="auto"/>
          <w:sz w:val="24"/>
          <w:szCs w:val="24"/>
          <w:highlight w:val="none"/>
        </w:rPr>
        <w:t>磋商小组</w:t>
      </w:r>
    </w:p>
    <w:p w14:paraId="05155433">
      <w:pPr>
        <w:spacing w:line="360" w:lineRule="auto"/>
        <w:rPr>
          <w:rFonts w:ascii="宋体" w:hAnsi="宋体" w:cs="宋体"/>
          <w:color w:val="auto"/>
          <w:highlight w:val="none"/>
        </w:rPr>
      </w:pPr>
      <w:r>
        <w:rPr>
          <w:rFonts w:hint="eastAsia" w:ascii="宋体" w:hAnsi="宋体" w:cs="宋体"/>
          <w:color w:val="auto"/>
          <w:highlight w:val="none"/>
        </w:rPr>
        <w:t>5.1.1 响应文件的评审工作由采购人依法组建的竞争性磋商小组负责。磋商小组由采购人代表，以及有关技术、经济等方面的专家组成，且符合现行的政府采购相关规定。具体人数见供应商须知前附表。</w:t>
      </w:r>
    </w:p>
    <w:p w14:paraId="4728D94A">
      <w:pPr>
        <w:spacing w:line="360" w:lineRule="auto"/>
        <w:jc w:val="left"/>
        <w:rPr>
          <w:rFonts w:ascii="宋体" w:hAnsi="宋体" w:cs="宋体"/>
          <w:color w:val="auto"/>
          <w:highlight w:val="none"/>
        </w:rPr>
      </w:pPr>
      <w:r>
        <w:rPr>
          <w:rFonts w:hint="eastAsia" w:ascii="宋体" w:hAnsi="宋体" w:cs="宋体"/>
          <w:color w:val="auto"/>
          <w:highlight w:val="none"/>
        </w:rPr>
        <w:t>5.1.2 磋商小组成员有下列情形之一的，应当回避：</w:t>
      </w:r>
    </w:p>
    <w:p w14:paraId="52D1C42A">
      <w:pPr>
        <w:spacing w:line="360" w:lineRule="auto"/>
        <w:jc w:val="left"/>
        <w:rPr>
          <w:rFonts w:ascii="宋体" w:hAnsi="宋体" w:cs="宋体"/>
          <w:color w:val="auto"/>
          <w:highlight w:val="none"/>
        </w:rPr>
      </w:pPr>
      <w:r>
        <w:rPr>
          <w:rFonts w:hint="eastAsia" w:ascii="宋体" w:hAnsi="宋体" w:cs="宋体"/>
          <w:color w:val="auto"/>
          <w:highlight w:val="none"/>
        </w:rPr>
        <w:t>（1）参加采购活动前三年内，与供应商存在劳动关系，或者担任过供应商的董事、监事，或者是供应商的控股股东或实际控制人；</w:t>
      </w:r>
    </w:p>
    <w:p w14:paraId="2B65C4FC">
      <w:pPr>
        <w:spacing w:line="360" w:lineRule="auto"/>
        <w:jc w:val="left"/>
        <w:rPr>
          <w:rFonts w:ascii="宋体" w:hAnsi="宋体" w:cs="宋体"/>
          <w:color w:val="auto"/>
          <w:highlight w:val="none"/>
        </w:rPr>
      </w:pPr>
      <w:r>
        <w:rPr>
          <w:rFonts w:hint="eastAsia" w:ascii="宋体" w:hAnsi="宋体" w:cs="宋体"/>
          <w:color w:val="auto"/>
          <w:highlight w:val="none"/>
        </w:rPr>
        <w:t>（2）与供应商的法定代表人或者负责人有夫妻、直系血亲、三代以内旁系血亲或者近姻亲关系；</w:t>
      </w:r>
    </w:p>
    <w:p w14:paraId="0679E704">
      <w:pPr>
        <w:spacing w:line="360" w:lineRule="auto"/>
        <w:jc w:val="left"/>
        <w:rPr>
          <w:rFonts w:ascii="宋体" w:hAnsi="宋体" w:cs="宋体"/>
          <w:color w:val="auto"/>
          <w:highlight w:val="none"/>
        </w:rPr>
      </w:pPr>
      <w:r>
        <w:rPr>
          <w:rFonts w:hint="eastAsia" w:ascii="宋体" w:hAnsi="宋体" w:cs="宋体"/>
          <w:color w:val="auto"/>
          <w:highlight w:val="none"/>
        </w:rPr>
        <w:t>（3）与供应商有其他可能影响政府采购活动公平、公正进行的关系；</w:t>
      </w:r>
    </w:p>
    <w:p w14:paraId="64E3551E">
      <w:pPr>
        <w:spacing w:line="360" w:lineRule="auto"/>
        <w:jc w:val="left"/>
        <w:rPr>
          <w:rFonts w:ascii="宋体" w:hAnsi="宋体" w:cs="宋体"/>
          <w:color w:val="auto"/>
          <w:highlight w:val="none"/>
        </w:rPr>
      </w:pPr>
      <w:r>
        <w:rPr>
          <w:rFonts w:hint="eastAsia" w:ascii="宋体" w:hAnsi="宋体" w:cs="宋体"/>
          <w:color w:val="auto"/>
          <w:highlight w:val="none"/>
        </w:rPr>
        <w:t>（4）法律、行政法规规定的其他条件。</w:t>
      </w:r>
    </w:p>
    <w:p w14:paraId="5F728448">
      <w:pPr>
        <w:pStyle w:val="286"/>
        <w:spacing w:before="0" w:after="0" w:line="360" w:lineRule="auto"/>
        <w:jc w:val="left"/>
        <w:rPr>
          <w:rFonts w:ascii="宋体" w:hAnsi="宋体" w:cs="宋体"/>
          <w:b/>
          <w:color w:val="auto"/>
          <w:sz w:val="24"/>
          <w:szCs w:val="24"/>
          <w:highlight w:val="none"/>
        </w:rPr>
      </w:pPr>
      <w:bookmarkStart w:id="309" w:name="_Toc247085722"/>
      <w:bookmarkStart w:id="310" w:name="_Toc179632582"/>
      <w:bookmarkStart w:id="311" w:name="_Toc144974532"/>
      <w:bookmarkStart w:id="312" w:name="_Toc246996208"/>
      <w:bookmarkStart w:id="313" w:name="_Toc468783622"/>
      <w:bookmarkStart w:id="314" w:name="_Toc152045564"/>
      <w:bookmarkStart w:id="315" w:name="_Toc152042340"/>
      <w:bookmarkStart w:id="316" w:name="_Toc426469904"/>
      <w:bookmarkStart w:id="317" w:name="_Toc343525539"/>
      <w:bookmarkStart w:id="318" w:name="_Toc246996951"/>
      <w:bookmarkStart w:id="319" w:name="_Toc383438627"/>
      <w:r>
        <w:rPr>
          <w:rFonts w:hint="eastAsia" w:ascii="宋体" w:hAnsi="宋体" w:cs="宋体"/>
          <w:b/>
          <w:color w:val="auto"/>
          <w:sz w:val="24"/>
          <w:szCs w:val="24"/>
          <w:highlight w:val="none"/>
        </w:rPr>
        <w:t>5.2 评审原则</w:t>
      </w:r>
      <w:bookmarkEnd w:id="309"/>
      <w:bookmarkEnd w:id="310"/>
      <w:bookmarkEnd w:id="311"/>
      <w:bookmarkEnd w:id="312"/>
      <w:bookmarkEnd w:id="313"/>
      <w:bookmarkEnd w:id="314"/>
      <w:bookmarkEnd w:id="315"/>
      <w:bookmarkEnd w:id="316"/>
      <w:bookmarkEnd w:id="317"/>
      <w:bookmarkEnd w:id="318"/>
      <w:bookmarkEnd w:id="319"/>
    </w:p>
    <w:p w14:paraId="1851779F">
      <w:pPr>
        <w:spacing w:line="360" w:lineRule="auto"/>
        <w:jc w:val="left"/>
        <w:rPr>
          <w:rFonts w:ascii="宋体" w:hAnsi="宋体" w:cs="宋体"/>
          <w:color w:val="auto"/>
          <w:highlight w:val="none"/>
        </w:rPr>
      </w:pPr>
      <w:r>
        <w:rPr>
          <w:rFonts w:hint="eastAsia" w:ascii="宋体" w:hAnsi="宋体" w:cs="宋体"/>
          <w:color w:val="auto"/>
          <w:highlight w:val="none"/>
        </w:rPr>
        <w:t>评审活动遵循公正、客观、审慎的原则。磋商小组严格按照本竞争性磋商文件第三章规定的评审程序和标准进行独立评审。本文件中没有规定的评审标准，不得作为评审依据。</w:t>
      </w:r>
    </w:p>
    <w:p w14:paraId="0513B7EF">
      <w:pPr>
        <w:pStyle w:val="282"/>
        <w:spacing w:before="0" w:after="0" w:line="360" w:lineRule="auto"/>
        <w:rPr>
          <w:rFonts w:ascii="宋体" w:hAnsi="宋体" w:eastAsia="宋体" w:cs="宋体"/>
          <w:b/>
          <w:color w:val="auto"/>
          <w:sz w:val="24"/>
          <w:szCs w:val="24"/>
          <w:highlight w:val="none"/>
        </w:rPr>
      </w:pPr>
      <w:bookmarkStart w:id="320" w:name="_Toc468783624"/>
      <w:bookmarkStart w:id="321" w:name="_Toc383438629"/>
      <w:bookmarkStart w:id="322" w:name="_Toc426469906"/>
      <w:r>
        <w:rPr>
          <w:rFonts w:hint="eastAsia" w:ascii="宋体" w:hAnsi="宋体" w:eastAsia="宋体" w:cs="宋体"/>
          <w:b/>
          <w:color w:val="auto"/>
          <w:sz w:val="24"/>
          <w:szCs w:val="24"/>
          <w:highlight w:val="none"/>
        </w:rPr>
        <w:t xml:space="preserve">6. </w:t>
      </w:r>
      <w:bookmarkEnd w:id="320"/>
      <w:bookmarkEnd w:id="321"/>
      <w:bookmarkEnd w:id="322"/>
      <w:r>
        <w:rPr>
          <w:rFonts w:hint="eastAsia" w:ascii="宋体" w:hAnsi="宋体" w:eastAsia="宋体" w:cs="宋体"/>
          <w:b/>
          <w:color w:val="auto"/>
          <w:sz w:val="24"/>
          <w:szCs w:val="24"/>
          <w:highlight w:val="none"/>
        </w:rPr>
        <w:t>成交</w:t>
      </w:r>
    </w:p>
    <w:p w14:paraId="39A9B393">
      <w:pPr>
        <w:spacing w:line="360" w:lineRule="auto"/>
        <w:jc w:val="left"/>
        <w:rPr>
          <w:rFonts w:ascii="宋体" w:hAnsi="宋体" w:cs="宋体"/>
          <w:color w:val="auto"/>
          <w:highlight w:val="none"/>
        </w:rPr>
      </w:pPr>
      <w:r>
        <w:rPr>
          <w:rFonts w:hint="eastAsia" w:ascii="宋体" w:hAnsi="宋体" w:cs="宋体"/>
          <w:bCs/>
          <w:color w:val="auto"/>
          <w:highlight w:val="none"/>
        </w:rPr>
        <w:t>6.1</w:t>
      </w:r>
      <w:r>
        <w:rPr>
          <w:rFonts w:hint="eastAsia" w:ascii="宋体" w:hAnsi="宋体" w:cs="宋体"/>
          <w:color w:val="auto"/>
          <w:highlight w:val="none"/>
        </w:rPr>
        <w:t>采购人从磋商小组提出的成交候选人中根据符合采购需求且评审得分最高的原则确定成交供应商，并将结果通知所有参加磋商的未成交的供应商。</w:t>
      </w:r>
    </w:p>
    <w:p w14:paraId="0922A4B9">
      <w:pPr>
        <w:spacing w:line="360" w:lineRule="auto"/>
        <w:ind w:right="-161" w:rightChars="-67"/>
        <w:jc w:val="left"/>
        <w:rPr>
          <w:rFonts w:ascii="宋体" w:hAnsi="宋体" w:cs="宋体"/>
          <w:color w:val="auto"/>
          <w:highlight w:val="none"/>
        </w:rPr>
      </w:pPr>
      <w:r>
        <w:rPr>
          <w:rFonts w:hint="eastAsia" w:ascii="宋体" w:hAnsi="宋体" w:cs="宋体"/>
          <w:color w:val="auto"/>
          <w:highlight w:val="none"/>
        </w:rPr>
        <w:t>6.2自成交人确定之日起2个工作日内，在发布竞争性磋商公告的媒介上公告成交结果。同时，向成交人发出成交通知书。成交通知书对采购人和成交人具有同等法律效力。</w:t>
      </w:r>
    </w:p>
    <w:p w14:paraId="39422145">
      <w:pPr>
        <w:pStyle w:val="282"/>
        <w:spacing w:before="0" w:after="0" w:line="360" w:lineRule="auto"/>
        <w:rPr>
          <w:rFonts w:ascii="宋体" w:hAnsi="宋体" w:eastAsia="宋体" w:cs="宋体"/>
          <w:b/>
          <w:color w:val="auto"/>
          <w:sz w:val="24"/>
          <w:szCs w:val="24"/>
          <w:highlight w:val="none"/>
        </w:rPr>
      </w:pPr>
      <w:bookmarkStart w:id="323" w:name="_Toc426469907"/>
      <w:bookmarkStart w:id="324" w:name="_Toc468783625"/>
      <w:r>
        <w:rPr>
          <w:rFonts w:hint="eastAsia" w:ascii="宋体" w:hAnsi="宋体" w:eastAsia="宋体" w:cs="宋体"/>
          <w:b/>
          <w:color w:val="auto"/>
          <w:sz w:val="24"/>
          <w:szCs w:val="24"/>
          <w:highlight w:val="none"/>
        </w:rPr>
        <w:t>7质疑</w:t>
      </w:r>
      <w:bookmarkEnd w:id="323"/>
      <w:bookmarkEnd w:id="324"/>
      <w:r>
        <w:rPr>
          <w:rFonts w:hint="eastAsia" w:ascii="宋体" w:hAnsi="宋体" w:eastAsia="宋体" w:cs="宋体"/>
          <w:b/>
          <w:color w:val="auto"/>
          <w:sz w:val="24"/>
          <w:szCs w:val="24"/>
          <w:highlight w:val="none"/>
        </w:rPr>
        <w:t>和投诉</w:t>
      </w:r>
    </w:p>
    <w:p w14:paraId="18A19599">
      <w:pPr>
        <w:spacing w:line="360" w:lineRule="auto"/>
        <w:jc w:val="left"/>
        <w:rPr>
          <w:rFonts w:ascii="宋体" w:hAnsi="宋体" w:cs="宋体"/>
          <w:color w:val="auto"/>
          <w:highlight w:val="none"/>
        </w:rPr>
      </w:pPr>
      <w:r>
        <w:rPr>
          <w:rFonts w:hint="eastAsia" w:ascii="宋体" w:hAnsi="宋体" w:cs="宋体"/>
          <w:color w:val="auto"/>
          <w:highlight w:val="none"/>
        </w:rPr>
        <w:t>7.1按照《政府采购质疑和投诉办法》（财政部第94号令）处理</w:t>
      </w:r>
    </w:p>
    <w:p w14:paraId="09FAE7C4">
      <w:pPr>
        <w:spacing w:line="360" w:lineRule="auto"/>
        <w:jc w:val="left"/>
        <w:rPr>
          <w:rFonts w:ascii="宋体" w:hAnsi="宋体" w:cs="宋体"/>
          <w:color w:val="auto"/>
          <w:highlight w:val="none"/>
        </w:rPr>
      </w:pPr>
      <w:r>
        <w:rPr>
          <w:rFonts w:hint="eastAsia" w:ascii="宋体" w:hAnsi="宋体" w:cs="宋体"/>
          <w:color w:val="auto"/>
          <w:highlight w:val="none"/>
        </w:rPr>
        <w:t>7.2供应商认为竞争性磋商文件、招标过程和成交结果使自己的权益受到损害的，可以在知道或者应当知道其权益受到损害之日起七个工作日内，以书面形式向采购人提出质疑。</w:t>
      </w:r>
    </w:p>
    <w:p w14:paraId="299C5257">
      <w:pPr>
        <w:pageBreakBefore w:val="0"/>
        <w:widowControl w:val="0"/>
        <w:kinsoku/>
        <w:wordWrap/>
        <w:overflowPunct/>
        <w:topLinePunct w:val="0"/>
        <w:autoSpaceDE/>
        <w:autoSpaceDN/>
        <w:bidi w:val="0"/>
        <w:adjustRightInd/>
        <w:snapToGrid w:val="0"/>
        <w:spacing w:line="336" w:lineRule="auto"/>
        <w:jc w:val="left"/>
        <w:textAlignment w:val="auto"/>
        <w:rPr>
          <w:rFonts w:ascii="宋体" w:hAnsi="宋体" w:cs="宋体"/>
          <w:color w:val="auto"/>
          <w:highlight w:val="none"/>
        </w:rPr>
      </w:pPr>
      <w:r>
        <w:rPr>
          <w:rFonts w:hint="eastAsia" w:ascii="宋体" w:hAnsi="宋体" w:cs="宋体"/>
          <w:color w:val="auto"/>
          <w:highlight w:val="none"/>
        </w:rPr>
        <w:t>7.3采购人在收到供应商的书面质疑后，在七个工作日内对质疑内容作出答复，并以书面形式通知质疑供应商和其他有关的供应商。</w:t>
      </w:r>
    </w:p>
    <w:p w14:paraId="6E3CF3B0">
      <w:pPr>
        <w:pageBreakBefore w:val="0"/>
        <w:widowControl w:val="0"/>
        <w:kinsoku/>
        <w:wordWrap/>
        <w:overflowPunct/>
        <w:topLinePunct w:val="0"/>
        <w:autoSpaceDE/>
        <w:autoSpaceDN/>
        <w:bidi w:val="0"/>
        <w:adjustRightInd/>
        <w:snapToGrid w:val="0"/>
        <w:spacing w:line="336" w:lineRule="auto"/>
        <w:jc w:val="left"/>
        <w:textAlignment w:val="auto"/>
        <w:rPr>
          <w:rFonts w:ascii="宋体" w:hAnsi="宋体" w:cs="宋体"/>
          <w:color w:val="auto"/>
          <w:highlight w:val="none"/>
        </w:rPr>
      </w:pPr>
      <w:r>
        <w:rPr>
          <w:rFonts w:hint="eastAsia" w:ascii="宋体" w:hAnsi="宋体" w:cs="宋体"/>
          <w:color w:val="auto"/>
          <w:highlight w:val="none"/>
        </w:rPr>
        <w:t>7.4质疑函应当包括但不限于以下内容：</w:t>
      </w:r>
    </w:p>
    <w:p w14:paraId="6F1BFEDA">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（1）质疑人的名称、地址、邮编、联系人、联系电话；</w:t>
      </w:r>
    </w:p>
    <w:p w14:paraId="5B141911">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（2）具体的质疑事项及事实依据；</w:t>
      </w:r>
    </w:p>
    <w:p w14:paraId="4452BF0A">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（3）认为自己的合法权益受到损害或者可能受到损害的相关证据材料；</w:t>
      </w:r>
    </w:p>
    <w:p w14:paraId="380BCB24">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（4）提出质疑的日期；</w:t>
      </w:r>
    </w:p>
    <w:p w14:paraId="3D1832B0">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p>
    <w:p w14:paraId="5CEF8D45">
      <w:pPr>
        <w:pageBreakBefore w:val="0"/>
        <w:widowControl w:val="0"/>
        <w:kinsoku/>
        <w:wordWrap/>
        <w:overflowPunct/>
        <w:topLinePunct w:val="0"/>
        <w:autoSpaceDE/>
        <w:autoSpaceDN/>
        <w:bidi w:val="0"/>
        <w:adjustRightInd/>
        <w:snapToGrid w:val="0"/>
        <w:spacing w:line="336" w:lineRule="auto"/>
        <w:jc w:val="left"/>
        <w:textAlignment w:val="auto"/>
        <w:rPr>
          <w:rFonts w:ascii="宋体" w:hAnsi="宋体" w:cs="宋体"/>
          <w:color w:val="auto"/>
          <w:highlight w:val="none"/>
        </w:rPr>
      </w:pPr>
      <w:r>
        <w:rPr>
          <w:rFonts w:hint="eastAsia" w:ascii="宋体" w:hAnsi="宋体" w:cs="宋体"/>
          <w:color w:val="auto"/>
          <w:highlight w:val="none"/>
        </w:rPr>
        <w:t>7.5有下列情形之一的质疑，采购人将不予受理：</w:t>
      </w:r>
    </w:p>
    <w:p w14:paraId="677DD04D">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（1）非在法定时间内提交的；</w:t>
      </w:r>
    </w:p>
    <w:p w14:paraId="49568A8C">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（2）非书面形式（含传真、电子邮件等）提出的；</w:t>
      </w:r>
    </w:p>
    <w:p w14:paraId="6A7CDF45">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（3）非参加本次招标活动的供应商；</w:t>
      </w:r>
    </w:p>
    <w:p w14:paraId="04CC6399">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（4）质疑函的内容不符合本章8.3条规定的；</w:t>
      </w:r>
    </w:p>
    <w:p w14:paraId="375FFA34">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（5）法律、行政法规规定的其他情形。</w:t>
      </w:r>
    </w:p>
    <w:p w14:paraId="7CAD72D0">
      <w:pPr>
        <w:pageBreakBefore w:val="0"/>
        <w:widowControl w:val="0"/>
        <w:kinsoku/>
        <w:wordWrap/>
        <w:overflowPunct/>
        <w:topLinePunct w:val="0"/>
        <w:autoSpaceDE/>
        <w:autoSpaceDN/>
        <w:bidi w:val="0"/>
        <w:adjustRightInd/>
        <w:snapToGrid w:val="0"/>
        <w:spacing w:line="336" w:lineRule="auto"/>
        <w:jc w:val="left"/>
        <w:textAlignment w:val="auto"/>
        <w:rPr>
          <w:rFonts w:ascii="宋体" w:hAnsi="宋体" w:cs="宋体"/>
          <w:color w:val="auto"/>
          <w:highlight w:val="none"/>
        </w:rPr>
      </w:pPr>
      <w:r>
        <w:rPr>
          <w:rFonts w:hint="eastAsia" w:ascii="宋体" w:hAnsi="宋体" w:cs="宋体"/>
          <w:color w:val="auto"/>
          <w:highlight w:val="none"/>
        </w:rPr>
        <w:t>7.6供应商对采购人的答复不满意或者采购人未在规定的时间内作出答复的，可以依法向政府采购监管部门提出投诉。</w:t>
      </w:r>
    </w:p>
    <w:p w14:paraId="054E4677">
      <w:pPr>
        <w:pageBreakBefore w:val="0"/>
        <w:widowControl w:val="0"/>
        <w:kinsoku/>
        <w:wordWrap/>
        <w:overflowPunct/>
        <w:topLinePunct w:val="0"/>
        <w:autoSpaceDE/>
        <w:autoSpaceDN/>
        <w:bidi w:val="0"/>
        <w:adjustRightInd/>
        <w:snapToGrid w:val="0"/>
        <w:spacing w:line="336" w:lineRule="auto"/>
        <w:jc w:val="left"/>
        <w:textAlignment w:val="auto"/>
        <w:rPr>
          <w:rFonts w:ascii="宋体" w:hAnsi="宋体" w:cs="宋体"/>
          <w:color w:val="auto"/>
          <w:highlight w:val="none"/>
        </w:rPr>
      </w:pPr>
      <w:r>
        <w:rPr>
          <w:rFonts w:hint="eastAsia" w:ascii="宋体" w:hAnsi="宋体" w:cs="宋体"/>
          <w:color w:val="auto"/>
          <w:highlight w:val="none"/>
        </w:rPr>
        <w:t>7.7供应商提出质疑必须有理、有据，不得恶意质疑或提交虚假质疑。否则，一经查实，采购人有权依据政府采购的有关规定，报请政府采购监管部门对该供应商进行相应的行政处罚。</w:t>
      </w:r>
    </w:p>
    <w:p w14:paraId="11A36527">
      <w:pPr>
        <w:pageBreakBefore w:val="0"/>
        <w:widowControl w:val="0"/>
        <w:kinsoku/>
        <w:wordWrap/>
        <w:overflowPunct/>
        <w:topLinePunct w:val="0"/>
        <w:autoSpaceDE/>
        <w:autoSpaceDN/>
        <w:bidi w:val="0"/>
        <w:adjustRightInd/>
        <w:snapToGrid w:val="0"/>
        <w:spacing w:line="336" w:lineRule="auto"/>
        <w:jc w:val="left"/>
        <w:textAlignment w:val="auto"/>
        <w:rPr>
          <w:rFonts w:ascii="宋体" w:hAnsi="宋体" w:cs="宋体"/>
          <w:color w:val="auto"/>
          <w:highlight w:val="none"/>
        </w:rPr>
      </w:pPr>
      <w:r>
        <w:rPr>
          <w:rFonts w:hint="eastAsia" w:ascii="宋体" w:hAnsi="宋体" w:cs="宋体"/>
          <w:color w:val="auto"/>
          <w:highlight w:val="none"/>
        </w:rPr>
        <w:t>7.8供应商和其他利害关系人认为本次招标活动违反法律、法规和规章规定的，有权向财政部门投诉。</w:t>
      </w:r>
    </w:p>
    <w:p w14:paraId="6F5EE4D5">
      <w:pPr>
        <w:pStyle w:val="282"/>
        <w:pageBreakBefore w:val="0"/>
        <w:widowControl w:val="0"/>
        <w:kinsoku/>
        <w:wordWrap/>
        <w:overflowPunct/>
        <w:topLinePunct w:val="0"/>
        <w:autoSpaceDE/>
        <w:autoSpaceDN/>
        <w:bidi w:val="0"/>
        <w:adjustRightInd/>
        <w:snapToGrid w:val="0"/>
        <w:spacing w:before="0" w:after="0" w:line="336" w:lineRule="auto"/>
        <w:textAlignment w:val="auto"/>
        <w:rPr>
          <w:rFonts w:ascii="宋体" w:hAnsi="宋体" w:eastAsia="宋体" w:cs="宋体"/>
          <w:b/>
          <w:color w:val="auto"/>
          <w:sz w:val="24"/>
          <w:szCs w:val="24"/>
          <w:highlight w:val="none"/>
        </w:rPr>
      </w:pPr>
      <w:bookmarkStart w:id="325" w:name="_Toc343525548"/>
      <w:bookmarkStart w:id="326" w:name="_Toc468783626"/>
      <w:bookmarkStart w:id="327" w:name="_Toc426469908"/>
      <w:bookmarkStart w:id="328" w:name="_Toc383438634"/>
      <w:r>
        <w:rPr>
          <w:rFonts w:hint="eastAsia" w:ascii="宋体" w:hAnsi="宋体" w:eastAsia="宋体" w:cs="宋体"/>
          <w:b/>
          <w:color w:val="auto"/>
          <w:sz w:val="24"/>
          <w:szCs w:val="24"/>
          <w:highlight w:val="none"/>
        </w:rPr>
        <w:t>8. 合同</w:t>
      </w:r>
      <w:bookmarkEnd w:id="325"/>
      <w:bookmarkEnd w:id="326"/>
      <w:bookmarkEnd w:id="327"/>
      <w:bookmarkEnd w:id="328"/>
    </w:p>
    <w:p w14:paraId="6A3949D0">
      <w:pPr>
        <w:pStyle w:val="286"/>
        <w:pageBreakBefore w:val="0"/>
        <w:widowControl w:val="0"/>
        <w:kinsoku/>
        <w:wordWrap/>
        <w:overflowPunct/>
        <w:topLinePunct w:val="0"/>
        <w:autoSpaceDE/>
        <w:autoSpaceDN/>
        <w:bidi w:val="0"/>
        <w:adjustRightInd/>
        <w:snapToGrid w:val="0"/>
        <w:spacing w:before="0" w:after="0" w:line="336" w:lineRule="auto"/>
        <w:jc w:val="left"/>
        <w:textAlignment w:val="auto"/>
        <w:rPr>
          <w:rFonts w:ascii="宋体" w:hAnsi="宋体" w:cs="宋体"/>
          <w:b/>
          <w:color w:val="auto"/>
          <w:sz w:val="24"/>
          <w:szCs w:val="24"/>
          <w:highlight w:val="none"/>
        </w:rPr>
      </w:pPr>
      <w:bookmarkStart w:id="329" w:name="_Toc343525549"/>
      <w:bookmarkStart w:id="330" w:name="_Toc323716652"/>
      <w:bookmarkStart w:id="331" w:name="_Toc468783627"/>
      <w:bookmarkStart w:id="332" w:name="_Toc426469909"/>
      <w:bookmarkStart w:id="333" w:name="_Toc383438635"/>
      <w:r>
        <w:rPr>
          <w:rFonts w:hint="eastAsia" w:ascii="宋体" w:hAnsi="宋体" w:cs="宋体"/>
          <w:b/>
          <w:color w:val="auto"/>
          <w:sz w:val="24"/>
          <w:szCs w:val="24"/>
          <w:highlight w:val="none"/>
        </w:rPr>
        <w:t>8.1 履约</w:t>
      </w:r>
      <w:bookmarkEnd w:id="329"/>
      <w:bookmarkEnd w:id="330"/>
      <w:r>
        <w:rPr>
          <w:rFonts w:hint="eastAsia" w:ascii="宋体" w:hAnsi="宋体" w:cs="宋体"/>
          <w:b/>
          <w:color w:val="auto"/>
          <w:sz w:val="24"/>
          <w:szCs w:val="24"/>
          <w:highlight w:val="none"/>
        </w:rPr>
        <w:t>保证金</w:t>
      </w:r>
      <w:bookmarkEnd w:id="331"/>
      <w:bookmarkEnd w:id="332"/>
      <w:bookmarkEnd w:id="333"/>
    </w:p>
    <w:p w14:paraId="7DF98981">
      <w:pPr>
        <w:pageBreakBefore w:val="0"/>
        <w:widowControl w:val="0"/>
        <w:kinsoku/>
        <w:wordWrap/>
        <w:overflowPunct/>
        <w:topLinePunct w:val="0"/>
        <w:autoSpaceDE/>
        <w:autoSpaceDN/>
        <w:bidi w:val="0"/>
        <w:adjustRightInd/>
        <w:snapToGrid w:val="0"/>
        <w:spacing w:line="336" w:lineRule="auto"/>
        <w:jc w:val="left"/>
        <w:textAlignment w:val="auto"/>
        <w:rPr>
          <w:rFonts w:ascii="宋体" w:hAnsi="宋体" w:cs="宋体"/>
          <w:color w:val="auto"/>
          <w:highlight w:val="none"/>
        </w:rPr>
      </w:pPr>
      <w:r>
        <w:rPr>
          <w:rFonts w:hint="eastAsia" w:ascii="宋体" w:hAnsi="宋体" w:cs="宋体"/>
          <w:color w:val="auto"/>
          <w:highlight w:val="none"/>
        </w:rPr>
        <w:t>8.1.1成交供应商应按供应商须知前附表规定的履约保证金的形式、金额和提交时间向采购人提交履约保证金。</w:t>
      </w:r>
    </w:p>
    <w:p w14:paraId="3779DA72">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ascii="宋体" w:hAnsi="宋体" w:cs="宋体"/>
          <w:color w:val="auto"/>
          <w:highlight w:val="none"/>
        </w:rPr>
      </w:pPr>
      <w:r>
        <w:rPr>
          <w:rFonts w:hint="eastAsia" w:ascii="宋体" w:hAnsi="宋体" w:cs="宋体"/>
          <w:color w:val="auto"/>
          <w:highlight w:val="none"/>
        </w:rPr>
        <w:t>8.1.2成交供应商不能按本竞争性磋商文件要求提交履约保证金的，视为放弃成交，给采购人造成的损失的，成交供应商还应当予以赔偿。</w:t>
      </w:r>
    </w:p>
    <w:p w14:paraId="2B3500B5">
      <w:pPr>
        <w:pStyle w:val="286"/>
        <w:keepNext/>
        <w:keepLines/>
        <w:pageBreakBefore w:val="0"/>
        <w:widowControl w:val="0"/>
        <w:kinsoku/>
        <w:wordWrap/>
        <w:overflowPunct/>
        <w:topLinePunct w:val="0"/>
        <w:autoSpaceDE/>
        <w:autoSpaceDN/>
        <w:bidi w:val="0"/>
        <w:adjustRightInd/>
        <w:snapToGrid w:val="0"/>
        <w:spacing w:before="0" w:after="0" w:line="336" w:lineRule="auto"/>
        <w:jc w:val="left"/>
        <w:textAlignment w:val="auto"/>
        <w:rPr>
          <w:rFonts w:ascii="宋体" w:hAnsi="宋体" w:cs="宋体"/>
          <w:b/>
          <w:color w:val="auto"/>
          <w:sz w:val="24"/>
          <w:szCs w:val="24"/>
          <w:highlight w:val="none"/>
        </w:rPr>
      </w:pPr>
      <w:bookmarkStart w:id="334" w:name="_Toc468783628"/>
      <w:bookmarkStart w:id="335" w:name="_Toc343525551"/>
      <w:bookmarkStart w:id="336" w:name="_Toc383438637"/>
      <w:bookmarkStart w:id="337" w:name="_Toc426469910"/>
      <w:r>
        <w:rPr>
          <w:rFonts w:hint="eastAsia" w:ascii="宋体" w:hAnsi="宋体" w:cs="宋体"/>
          <w:b/>
          <w:color w:val="auto"/>
          <w:sz w:val="24"/>
          <w:szCs w:val="24"/>
          <w:highlight w:val="none"/>
        </w:rPr>
        <w:t>8.2签订合同</w:t>
      </w:r>
      <w:bookmarkEnd w:id="334"/>
      <w:bookmarkEnd w:id="335"/>
      <w:bookmarkEnd w:id="336"/>
      <w:bookmarkEnd w:id="337"/>
    </w:p>
    <w:p w14:paraId="2616AA9A">
      <w:pPr>
        <w:pageBreakBefore w:val="0"/>
        <w:widowControl w:val="0"/>
        <w:kinsoku/>
        <w:wordWrap/>
        <w:overflowPunct/>
        <w:topLinePunct w:val="0"/>
        <w:autoSpaceDE/>
        <w:autoSpaceDN/>
        <w:bidi w:val="0"/>
        <w:adjustRightInd/>
        <w:snapToGrid w:val="0"/>
        <w:spacing w:line="336" w:lineRule="auto"/>
        <w:jc w:val="left"/>
        <w:textAlignment w:val="auto"/>
        <w:rPr>
          <w:rFonts w:ascii="宋体" w:hAnsi="宋体" w:cs="宋体"/>
          <w:color w:val="auto"/>
          <w:highlight w:val="none"/>
        </w:rPr>
      </w:pPr>
      <w:r>
        <w:rPr>
          <w:rFonts w:hint="eastAsia" w:ascii="宋体" w:hAnsi="宋体" w:cs="宋体"/>
          <w:color w:val="auto"/>
          <w:highlight w:val="none"/>
        </w:rPr>
        <w:t>8.2.1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p>
    <w:p w14:paraId="3F587E6E">
      <w:pPr>
        <w:pageBreakBefore w:val="0"/>
        <w:widowControl w:val="0"/>
        <w:kinsoku/>
        <w:wordWrap/>
        <w:overflowPunct/>
        <w:topLinePunct w:val="0"/>
        <w:autoSpaceDE/>
        <w:autoSpaceDN/>
        <w:bidi w:val="0"/>
        <w:adjustRightInd/>
        <w:snapToGrid w:val="0"/>
        <w:spacing w:line="336" w:lineRule="auto"/>
        <w:jc w:val="left"/>
        <w:textAlignment w:val="auto"/>
        <w:rPr>
          <w:rFonts w:ascii="宋体" w:hAnsi="宋体" w:cs="宋体"/>
          <w:color w:val="auto"/>
          <w:highlight w:val="none"/>
        </w:rPr>
      </w:pPr>
      <w:r>
        <w:rPr>
          <w:rFonts w:hint="eastAsia" w:ascii="宋体" w:hAnsi="宋体" w:cs="宋体"/>
          <w:color w:val="auto"/>
          <w:highlight w:val="none"/>
        </w:rPr>
        <w:t>8.2.2发出成交通知书后，采购人无正当理由拒签合同的，给成交供应商造成损失的，还应当赔偿损失。</w:t>
      </w:r>
    </w:p>
    <w:p w14:paraId="741C4CAC">
      <w:pPr>
        <w:pStyle w:val="282"/>
        <w:pageBreakBefore w:val="0"/>
        <w:widowControl w:val="0"/>
        <w:kinsoku/>
        <w:wordWrap/>
        <w:overflowPunct/>
        <w:topLinePunct w:val="0"/>
        <w:autoSpaceDE/>
        <w:autoSpaceDN/>
        <w:bidi w:val="0"/>
        <w:adjustRightInd/>
        <w:snapToGrid w:val="0"/>
        <w:spacing w:before="0" w:after="0" w:line="336" w:lineRule="auto"/>
        <w:textAlignment w:val="auto"/>
        <w:rPr>
          <w:rFonts w:ascii="宋体" w:hAnsi="宋体" w:eastAsia="宋体" w:cs="宋体"/>
          <w:b/>
          <w:color w:val="auto"/>
          <w:sz w:val="24"/>
          <w:szCs w:val="24"/>
          <w:highlight w:val="none"/>
        </w:rPr>
      </w:pPr>
      <w:bookmarkStart w:id="338" w:name="_Toc468783629"/>
      <w:bookmarkStart w:id="339" w:name="_Toc426469911"/>
      <w:r>
        <w:rPr>
          <w:rFonts w:hint="eastAsia" w:ascii="宋体" w:hAnsi="宋体" w:eastAsia="宋体" w:cs="宋体"/>
          <w:b/>
          <w:color w:val="auto"/>
          <w:sz w:val="24"/>
          <w:szCs w:val="24"/>
          <w:highlight w:val="none"/>
        </w:rPr>
        <w:t>9.废标</w:t>
      </w:r>
      <w:bookmarkEnd w:id="338"/>
      <w:bookmarkEnd w:id="339"/>
    </w:p>
    <w:p w14:paraId="2BD19B6D">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出现情形之一的，采购人将予以废标，并将废标理由通知所有供应商：</w:t>
      </w:r>
    </w:p>
    <w:p w14:paraId="551070DB">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（1）除财库【2014】214号文第二十一条第三款规定的情形外，符合专业条件的供应商或者对竞争性磋商文件作实质响应的供应商不足三家的；</w:t>
      </w:r>
    </w:p>
    <w:p w14:paraId="684F1300">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（2）出现影响采购公正的违法、违规行为的；</w:t>
      </w:r>
    </w:p>
    <w:p w14:paraId="778FE15B">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（3）供应商的报价均超过了最高限价，采购人不能支付的；</w:t>
      </w:r>
    </w:p>
    <w:p w14:paraId="7A0C6BBF">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（4）因重大变故，采购任务取消的。</w:t>
      </w:r>
    </w:p>
    <w:p w14:paraId="4D1DB178">
      <w:pPr>
        <w:pStyle w:val="282"/>
        <w:pageBreakBefore w:val="0"/>
        <w:widowControl w:val="0"/>
        <w:kinsoku/>
        <w:wordWrap/>
        <w:overflowPunct/>
        <w:topLinePunct w:val="0"/>
        <w:autoSpaceDE/>
        <w:autoSpaceDN/>
        <w:bidi w:val="0"/>
        <w:adjustRightInd/>
        <w:snapToGrid w:val="0"/>
        <w:spacing w:before="0" w:after="0" w:line="336" w:lineRule="auto"/>
        <w:textAlignment w:val="auto"/>
        <w:rPr>
          <w:rFonts w:ascii="宋体" w:hAnsi="宋体" w:eastAsia="宋体" w:cs="宋体"/>
          <w:b/>
          <w:color w:val="auto"/>
          <w:sz w:val="24"/>
          <w:szCs w:val="24"/>
          <w:highlight w:val="none"/>
        </w:rPr>
      </w:pPr>
      <w:bookmarkStart w:id="340" w:name="_Toc383438639"/>
      <w:bookmarkStart w:id="341" w:name="_Toc343525553"/>
      <w:bookmarkStart w:id="342" w:name="_Toc426469912"/>
      <w:bookmarkStart w:id="343" w:name="_Toc468783630"/>
      <w:r>
        <w:rPr>
          <w:rFonts w:hint="eastAsia" w:ascii="宋体" w:hAnsi="宋体" w:eastAsia="宋体" w:cs="宋体"/>
          <w:b/>
          <w:color w:val="auto"/>
          <w:sz w:val="24"/>
          <w:szCs w:val="24"/>
          <w:highlight w:val="none"/>
        </w:rPr>
        <w:t>10. 纪律和监督</w:t>
      </w:r>
      <w:bookmarkEnd w:id="340"/>
      <w:bookmarkEnd w:id="341"/>
      <w:bookmarkEnd w:id="342"/>
      <w:bookmarkEnd w:id="343"/>
    </w:p>
    <w:p w14:paraId="16047232">
      <w:pPr>
        <w:pStyle w:val="286"/>
        <w:pageBreakBefore w:val="0"/>
        <w:widowControl w:val="0"/>
        <w:kinsoku/>
        <w:wordWrap/>
        <w:overflowPunct/>
        <w:topLinePunct w:val="0"/>
        <w:autoSpaceDE/>
        <w:autoSpaceDN/>
        <w:bidi w:val="0"/>
        <w:adjustRightInd/>
        <w:snapToGrid w:val="0"/>
        <w:spacing w:before="0" w:after="0" w:line="336" w:lineRule="auto"/>
        <w:jc w:val="left"/>
        <w:textAlignment w:val="auto"/>
        <w:rPr>
          <w:rFonts w:ascii="宋体" w:hAnsi="宋体" w:cs="宋体"/>
          <w:b/>
          <w:color w:val="auto"/>
          <w:sz w:val="24"/>
          <w:szCs w:val="24"/>
          <w:highlight w:val="none"/>
        </w:rPr>
      </w:pPr>
      <w:bookmarkStart w:id="344" w:name="_Toc246996962"/>
      <w:bookmarkStart w:id="345" w:name="_Toc144974543"/>
      <w:bookmarkStart w:id="346" w:name="_Toc152042351"/>
      <w:bookmarkStart w:id="347" w:name="_Toc296590983"/>
      <w:bookmarkStart w:id="348" w:name="_Toc179632593"/>
      <w:bookmarkStart w:id="349" w:name="_Toc343525554"/>
      <w:bookmarkStart w:id="350" w:name="_Toc247085733"/>
      <w:bookmarkStart w:id="351" w:name="_Toc426469913"/>
      <w:bookmarkStart w:id="352" w:name="_Toc246996219"/>
      <w:bookmarkStart w:id="353" w:name="_Toc383438640"/>
      <w:bookmarkStart w:id="354" w:name="_Toc468783631"/>
      <w:bookmarkStart w:id="355" w:name="_Toc152045575"/>
      <w:r>
        <w:rPr>
          <w:rFonts w:hint="eastAsia" w:ascii="宋体" w:hAnsi="宋体" w:cs="宋体"/>
          <w:b/>
          <w:color w:val="auto"/>
          <w:sz w:val="24"/>
          <w:szCs w:val="24"/>
          <w:highlight w:val="none"/>
        </w:rPr>
        <w:t>10.1 对采购人的纪律要求</w:t>
      </w:r>
      <w:bookmarkEnd w:id="344"/>
      <w:bookmarkEnd w:id="345"/>
      <w:bookmarkEnd w:id="346"/>
      <w:bookmarkEnd w:id="347"/>
      <w:bookmarkEnd w:id="348"/>
      <w:bookmarkEnd w:id="349"/>
      <w:bookmarkEnd w:id="350"/>
      <w:bookmarkEnd w:id="351"/>
      <w:bookmarkEnd w:id="352"/>
      <w:bookmarkEnd w:id="353"/>
      <w:bookmarkEnd w:id="354"/>
      <w:bookmarkEnd w:id="355"/>
    </w:p>
    <w:p w14:paraId="6476BACC">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采购人不得泄漏招标投标活动中应当保密的情况和资料，不得与供应商串通损害国家利益、社会公共利益或者他人合法权益。</w:t>
      </w:r>
    </w:p>
    <w:p w14:paraId="188314E2">
      <w:pPr>
        <w:pStyle w:val="286"/>
        <w:pageBreakBefore w:val="0"/>
        <w:widowControl w:val="0"/>
        <w:kinsoku/>
        <w:wordWrap/>
        <w:overflowPunct/>
        <w:topLinePunct w:val="0"/>
        <w:autoSpaceDE/>
        <w:autoSpaceDN/>
        <w:bidi w:val="0"/>
        <w:adjustRightInd/>
        <w:snapToGrid w:val="0"/>
        <w:spacing w:before="0" w:after="0" w:line="336" w:lineRule="auto"/>
        <w:jc w:val="left"/>
        <w:textAlignment w:val="auto"/>
        <w:rPr>
          <w:rFonts w:ascii="宋体" w:hAnsi="宋体" w:cs="宋体"/>
          <w:b/>
          <w:color w:val="auto"/>
          <w:sz w:val="24"/>
          <w:szCs w:val="24"/>
          <w:highlight w:val="none"/>
        </w:rPr>
      </w:pPr>
      <w:bookmarkStart w:id="356" w:name="_Toc152045576"/>
      <w:bookmarkStart w:id="357" w:name="_Toc247085734"/>
      <w:bookmarkStart w:id="358" w:name="_Toc343525555"/>
      <w:bookmarkStart w:id="359" w:name="_Toc426469914"/>
      <w:bookmarkStart w:id="360" w:name="_Toc152042352"/>
      <w:bookmarkStart w:id="361" w:name="_Toc383438641"/>
      <w:bookmarkStart w:id="362" w:name="_Toc246996220"/>
      <w:bookmarkStart w:id="363" w:name="_Toc144974544"/>
      <w:bookmarkStart w:id="364" w:name="_Toc179632594"/>
      <w:bookmarkStart w:id="365" w:name="_Toc468783632"/>
      <w:bookmarkStart w:id="366" w:name="_Toc246996963"/>
      <w:r>
        <w:rPr>
          <w:rFonts w:hint="eastAsia" w:ascii="宋体" w:hAnsi="宋体" w:cs="宋体"/>
          <w:b/>
          <w:color w:val="auto"/>
          <w:sz w:val="24"/>
          <w:szCs w:val="24"/>
          <w:highlight w:val="none"/>
        </w:rPr>
        <w:t>10.2 对供应商的纪律要求</w:t>
      </w:r>
      <w:bookmarkEnd w:id="356"/>
      <w:bookmarkEnd w:id="357"/>
      <w:bookmarkEnd w:id="358"/>
      <w:bookmarkEnd w:id="359"/>
      <w:bookmarkEnd w:id="360"/>
      <w:bookmarkEnd w:id="361"/>
      <w:bookmarkEnd w:id="362"/>
      <w:bookmarkEnd w:id="363"/>
      <w:bookmarkEnd w:id="364"/>
      <w:bookmarkEnd w:id="365"/>
      <w:bookmarkEnd w:id="366"/>
    </w:p>
    <w:p w14:paraId="081C9157">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供应商不得相互串通投标或者与采购人串通投标，不得向采购人或者磋商小组成员行贿谋取成交，不得以他人名义投标或者以其他方式弄虚作假骗取成交；供应商不得以任何方式干扰、影响开、评标工作。</w:t>
      </w:r>
    </w:p>
    <w:p w14:paraId="1E255D3C">
      <w:pPr>
        <w:pStyle w:val="286"/>
        <w:pageBreakBefore w:val="0"/>
        <w:widowControl w:val="0"/>
        <w:kinsoku/>
        <w:wordWrap/>
        <w:overflowPunct/>
        <w:topLinePunct w:val="0"/>
        <w:autoSpaceDE/>
        <w:autoSpaceDN/>
        <w:bidi w:val="0"/>
        <w:adjustRightInd/>
        <w:snapToGrid w:val="0"/>
        <w:spacing w:before="0" w:after="0" w:line="336" w:lineRule="auto"/>
        <w:jc w:val="left"/>
        <w:textAlignment w:val="auto"/>
        <w:rPr>
          <w:rFonts w:ascii="宋体" w:hAnsi="宋体" w:cs="宋体"/>
          <w:b/>
          <w:color w:val="auto"/>
          <w:sz w:val="24"/>
          <w:szCs w:val="24"/>
          <w:highlight w:val="none"/>
        </w:rPr>
      </w:pPr>
      <w:bookmarkStart w:id="367" w:name="_Toc144974545"/>
      <w:bookmarkStart w:id="368" w:name="_Toc152045577"/>
      <w:bookmarkStart w:id="369" w:name="_Toc426469915"/>
      <w:bookmarkStart w:id="370" w:name="_Toc247085735"/>
      <w:bookmarkStart w:id="371" w:name="_Toc343525556"/>
      <w:bookmarkStart w:id="372" w:name="_Toc383438642"/>
      <w:bookmarkStart w:id="373" w:name="_Toc468783633"/>
      <w:bookmarkStart w:id="374" w:name="_Toc152042353"/>
      <w:bookmarkStart w:id="375" w:name="_Toc246996221"/>
      <w:bookmarkStart w:id="376" w:name="_Toc179632595"/>
      <w:bookmarkStart w:id="377" w:name="_Toc246996964"/>
      <w:r>
        <w:rPr>
          <w:rFonts w:hint="eastAsia" w:ascii="宋体" w:hAnsi="宋体" w:cs="宋体"/>
          <w:b/>
          <w:color w:val="auto"/>
          <w:sz w:val="24"/>
          <w:szCs w:val="24"/>
          <w:highlight w:val="none"/>
        </w:rPr>
        <w:t>10.3 对磋商小组成员的纪律要求</w:t>
      </w:r>
      <w:bookmarkEnd w:id="367"/>
      <w:bookmarkEnd w:id="368"/>
      <w:bookmarkEnd w:id="369"/>
      <w:bookmarkEnd w:id="370"/>
      <w:bookmarkEnd w:id="371"/>
      <w:bookmarkEnd w:id="372"/>
      <w:bookmarkEnd w:id="373"/>
      <w:bookmarkEnd w:id="374"/>
      <w:bookmarkEnd w:id="375"/>
      <w:bookmarkEnd w:id="376"/>
      <w:bookmarkEnd w:id="377"/>
    </w:p>
    <w:p w14:paraId="5176A319">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p>
    <w:p w14:paraId="6FE20A09">
      <w:pPr>
        <w:pStyle w:val="286"/>
        <w:pageBreakBefore w:val="0"/>
        <w:widowControl w:val="0"/>
        <w:kinsoku/>
        <w:wordWrap/>
        <w:overflowPunct/>
        <w:topLinePunct w:val="0"/>
        <w:autoSpaceDE/>
        <w:autoSpaceDN/>
        <w:bidi w:val="0"/>
        <w:adjustRightInd/>
        <w:snapToGrid w:val="0"/>
        <w:spacing w:before="0" w:after="0" w:line="336" w:lineRule="auto"/>
        <w:jc w:val="left"/>
        <w:textAlignment w:val="auto"/>
        <w:rPr>
          <w:rFonts w:ascii="宋体" w:hAnsi="宋体" w:cs="宋体"/>
          <w:b/>
          <w:color w:val="auto"/>
          <w:sz w:val="24"/>
          <w:szCs w:val="24"/>
          <w:highlight w:val="none"/>
        </w:rPr>
      </w:pPr>
      <w:bookmarkStart w:id="378" w:name="_Toc152042354"/>
      <w:bookmarkStart w:id="379" w:name="_Toc383438643"/>
      <w:bookmarkStart w:id="380" w:name="_Toc247085736"/>
      <w:bookmarkStart w:id="381" w:name="_Toc246996965"/>
      <w:bookmarkStart w:id="382" w:name="_Toc468783634"/>
      <w:bookmarkStart w:id="383" w:name="_Toc179632596"/>
      <w:bookmarkStart w:id="384" w:name="_Toc426469916"/>
      <w:bookmarkStart w:id="385" w:name="_Toc152045578"/>
      <w:bookmarkStart w:id="386" w:name="_Toc246996222"/>
      <w:bookmarkStart w:id="387" w:name="_Toc343525557"/>
      <w:bookmarkStart w:id="388" w:name="_Toc144974546"/>
      <w:r>
        <w:rPr>
          <w:rFonts w:hint="eastAsia" w:ascii="宋体" w:hAnsi="宋体" w:cs="宋体"/>
          <w:b/>
          <w:color w:val="auto"/>
          <w:sz w:val="24"/>
          <w:szCs w:val="24"/>
          <w:highlight w:val="none"/>
        </w:rPr>
        <w:t>10.4 对与评标活动有关的工作人员的纪律要求</w:t>
      </w:r>
      <w:bookmarkEnd w:id="378"/>
      <w:bookmarkEnd w:id="379"/>
      <w:bookmarkEnd w:id="380"/>
      <w:bookmarkEnd w:id="381"/>
      <w:bookmarkEnd w:id="382"/>
      <w:bookmarkEnd w:id="383"/>
      <w:bookmarkEnd w:id="384"/>
      <w:bookmarkEnd w:id="385"/>
      <w:bookmarkEnd w:id="386"/>
      <w:bookmarkEnd w:id="387"/>
    </w:p>
    <w:p w14:paraId="5F0C61BF">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bookmarkStart w:id="389" w:name="_Toc152042355"/>
      <w:r>
        <w:rPr>
          <w:rFonts w:hint="eastAsia" w:ascii="宋体" w:hAnsi="宋体" w:cs="宋体"/>
          <w:color w:val="auto"/>
          <w:highlight w:val="none"/>
        </w:rPr>
        <w:t>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388"/>
      <w:bookmarkEnd w:id="389"/>
    </w:p>
    <w:p w14:paraId="45F75506">
      <w:pPr>
        <w:pStyle w:val="282"/>
        <w:pageBreakBefore w:val="0"/>
        <w:widowControl w:val="0"/>
        <w:kinsoku/>
        <w:wordWrap/>
        <w:overflowPunct/>
        <w:topLinePunct w:val="0"/>
        <w:autoSpaceDE/>
        <w:autoSpaceDN/>
        <w:bidi w:val="0"/>
        <w:adjustRightInd/>
        <w:snapToGrid w:val="0"/>
        <w:spacing w:before="0" w:after="0" w:line="336" w:lineRule="auto"/>
        <w:textAlignment w:val="auto"/>
        <w:rPr>
          <w:rFonts w:ascii="宋体" w:hAnsi="宋体" w:eastAsia="宋体" w:cs="宋体"/>
          <w:b/>
          <w:color w:val="auto"/>
          <w:sz w:val="24"/>
          <w:szCs w:val="24"/>
          <w:highlight w:val="none"/>
        </w:rPr>
      </w:pPr>
      <w:bookmarkStart w:id="390" w:name="_Toc426469918"/>
      <w:bookmarkStart w:id="391" w:name="_Toc246996224"/>
      <w:bookmarkStart w:id="392" w:name="_Toc343525559"/>
      <w:bookmarkStart w:id="393" w:name="_Toc246996967"/>
      <w:bookmarkStart w:id="394" w:name="_Toc247085738"/>
      <w:bookmarkStart w:id="395" w:name="_Toc383438645"/>
      <w:bookmarkStart w:id="396" w:name="_Toc152042357"/>
      <w:bookmarkStart w:id="397" w:name="_Toc152045580"/>
      <w:bookmarkStart w:id="398" w:name="_Toc144974547"/>
      <w:bookmarkStart w:id="399" w:name="_Toc179632598"/>
      <w:bookmarkStart w:id="400" w:name="_Toc468783636"/>
      <w:r>
        <w:rPr>
          <w:rFonts w:hint="eastAsia" w:ascii="宋体" w:hAnsi="宋体" w:eastAsia="宋体" w:cs="宋体"/>
          <w:b/>
          <w:color w:val="auto"/>
          <w:sz w:val="24"/>
          <w:szCs w:val="24"/>
          <w:highlight w:val="none"/>
        </w:rPr>
        <w:t>11. 需要补充的其他内容</w:t>
      </w:r>
      <w:bookmarkEnd w:id="390"/>
      <w:bookmarkEnd w:id="391"/>
      <w:bookmarkEnd w:id="392"/>
      <w:bookmarkEnd w:id="393"/>
      <w:bookmarkEnd w:id="394"/>
      <w:bookmarkEnd w:id="395"/>
      <w:bookmarkEnd w:id="396"/>
      <w:bookmarkEnd w:id="397"/>
      <w:bookmarkEnd w:id="398"/>
      <w:bookmarkEnd w:id="399"/>
      <w:bookmarkEnd w:id="400"/>
    </w:p>
    <w:p w14:paraId="55AC1299">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需要补充的其他内容：见供应商须知前附表。</w:t>
      </w:r>
    </w:p>
    <w:p w14:paraId="430D71A7">
      <w:pPr>
        <w:pStyle w:val="286"/>
        <w:pageBreakBefore w:val="0"/>
        <w:widowControl w:val="0"/>
        <w:kinsoku/>
        <w:wordWrap/>
        <w:overflowPunct/>
        <w:topLinePunct w:val="0"/>
        <w:autoSpaceDE/>
        <w:autoSpaceDN/>
        <w:bidi w:val="0"/>
        <w:adjustRightInd/>
        <w:snapToGrid w:val="0"/>
        <w:spacing w:before="0" w:after="0" w:line="336" w:lineRule="auto"/>
        <w:jc w:val="left"/>
        <w:textAlignment w:val="auto"/>
        <w:rPr>
          <w:rFonts w:ascii="宋体" w:hAnsi="宋体" w:cs="宋体"/>
          <w:b/>
          <w:color w:val="auto"/>
          <w:sz w:val="24"/>
          <w:szCs w:val="24"/>
          <w:highlight w:val="none"/>
        </w:rPr>
      </w:pPr>
      <w:bookmarkStart w:id="401" w:name="_Toc426469919"/>
      <w:bookmarkStart w:id="402" w:name="_Toc468783637"/>
      <w:bookmarkStart w:id="403" w:name="_Toc246996973"/>
      <w:bookmarkStart w:id="404" w:name="_Toc343525562"/>
      <w:bookmarkStart w:id="405" w:name="_Toc152045587"/>
      <w:bookmarkStart w:id="406" w:name="_Toc179632605"/>
      <w:bookmarkStart w:id="407" w:name="_Toc383438646"/>
      <w:bookmarkStart w:id="408" w:name="_Toc247085745"/>
      <w:bookmarkStart w:id="409" w:name="_Toc144974554"/>
      <w:bookmarkStart w:id="410" w:name="_Toc152042364"/>
      <w:bookmarkStart w:id="411" w:name="_Toc246996230"/>
      <w:bookmarkStart w:id="412" w:name="_Toc390098841"/>
      <w:bookmarkStart w:id="413" w:name="_Toc383679747"/>
      <w:bookmarkStart w:id="414" w:name="_Toc390246906"/>
      <w:bookmarkStart w:id="415" w:name="_Toc383698648"/>
      <w:bookmarkStart w:id="416" w:name="_Toc383623673"/>
      <w:bookmarkStart w:id="417" w:name="_Toc383625994"/>
      <w:bookmarkStart w:id="418" w:name="_Toc383587457"/>
      <w:bookmarkStart w:id="419" w:name="_Toc383623945"/>
      <w:bookmarkStart w:id="420" w:name="_Toc390099019"/>
      <w:r>
        <w:rPr>
          <w:rFonts w:hint="eastAsia" w:ascii="宋体" w:hAnsi="宋体" w:cs="宋体"/>
          <w:b/>
          <w:color w:val="auto"/>
          <w:sz w:val="24"/>
          <w:szCs w:val="24"/>
          <w:highlight w:val="none"/>
        </w:rPr>
        <w:t>12.竞争性磋商文件的解释</w:t>
      </w:r>
      <w:bookmarkEnd w:id="401"/>
      <w:bookmarkEnd w:id="402"/>
    </w:p>
    <w:p w14:paraId="7CE63E45">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sectPr>
          <w:headerReference r:id="rId3" w:type="default"/>
          <w:footerReference r:id="rId4" w:type="default"/>
          <w:pgSz w:w="11906" w:h="16838"/>
          <w:pgMar w:top="1440" w:right="1474" w:bottom="1440" w:left="1474" w:header="851" w:footer="992" w:gutter="0"/>
          <w:pgNumType w:start="1"/>
          <w:cols w:space="1701" w:num="1"/>
          <w:docGrid w:linePitch="360" w:charSpace="0"/>
        </w:sectPr>
      </w:pPr>
      <w:r>
        <w:rPr>
          <w:rFonts w:hint="eastAsia" w:ascii="宋体" w:hAnsi="宋体" w:cs="宋体"/>
          <w:color w:val="auto"/>
          <w:highlight w:val="none"/>
        </w:rPr>
        <w:t>本竞争性磋商文件的解释权属于采购人。</w:t>
      </w:r>
    </w:p>
    <w:p w14:paraId="311CD7B6">
      <w:pPr>
        <w:pStyle w:val="235"/>
        <w:jc w:val="center"/>
        <w:rPr>
          <w:rFonts w:eastAsia="宋体"/>
          <w:bCs/>
          <w:color w:val="auto"/>
          <w:sz w:val="32"/>
          <w:szCs w:val="32"/>
          <w:highlight w:val="none"/>
        </w:rPr>
      </w:pPr>
      <w:bookmarkStart w:id="421" w:name="_Toc468783638"/>
      <w:bookmarkStart w:id="422" w:name="_Toc18574"/>
      <w:bookmarkStart w:id="423" w:name="_Toc12891"/>
      <w:r>
        <w:rPr>
          <w:rFonts w:hint="eastAsia" w:eastAsia="宋体"/>
          <w:bCs/>
          <w:color w:val="auto"/>
          <w:sz w:val="32"/>
          <w:szCs w:val="32"/>
          <w:highlight w:val="none"/>
        </w:rPr>
        <w:t xml:space="preserve">第三章  </w:t>
      </w:r>
      <w:bookmarkEnd w:id="403"/>
      <w:bookmarkEnd w:id="404"/>
      <w:bookmarkEnd w:id="405"/>
      <w:bookmarkEnd w:id="406"/>
      <w:bookmarkEnd w:id="407"/>
      <w:bookmarkEnd w:id="408"/>
      <w:bookmarkEnd w:id="409"/>
      <w:bookmarkEnd w:id="410"/>
      <w:bookmarkEnd w:id="411"/>
      <w:bookmarkEnd w:id="421"/>
      <w:bookmarkEnd w:id="422"/>
      <w:r>
        <w:rPr>
          <w:rFonts w:hint="eastAsia" w:eastAsia="宋体"/>
          <w:bCs/>
          <w:color w:val="auto"/>
          <w:sz w:val="32"/>
          <w:szCs w:val="32"/>
          <w:highlight w:val="none"/>
        </w:rPr>
        <w:t>竞争性磋商</w:t>
      </w:r>
      <w:bookmarkEnd w:id="423"/>
    </w:p>
    <w:p w14:paraId="681D1A9C">
      <w:pPr>
        <w:pStyle w:val="282"/>
        <w:spacing w:line="360" w:lineRule="auto"/>
        <w:jc w:val="center"/>
        <w:rPr>
          <w:bCs/>
          <w:color w:val="auto"/>
          <w:highlight w:val="none"/>
        </w:rPr>
      </w:pPr>
      <w:bookmarkStart w:id="424" w:name="_Toc426469921"/>
      <w:bookmarkStart w:id="425" w:name="_Toc247085747"/>
      <w:bookmarkStart w:id="426" w:name="_Toc152045589"/>
      <w:bookmarkStart w:id="427" w:name="_Toc468783640"/>
      <w:bookmarkStart w:id="428" w:name="_Toc246996975"/>
      <w:bookmarkStart w:id="429" w:name="_Toc144974556"/>
      <w:bookmarkStart w:id="430" w:name="_Toc246996232"/>
      <w:bookmarkStart w:id="431" w:name="_Toc152042366"/>
      <w:bookmarkStart w:id="432" w:name="_Toc179632607"/>
      <w:bookmarkStart w:id="433" w:name="_Toc343525564"/>
      <w:r>
        <w:rPr>
          <w:rFonts w:hint="eastAsia" w:ascii="Times New Roman" w:hAnsi="Times New Roman" w:eastAsia="宋体"/>
          <w:b/>
          <w:color w:val="auto"/>
          <w:highlight w:val="none"/>
        </w:rPr>
        <w:t>竞争性磋商前附表</w:t>
      </w:r>
    </w:p>
    <w:tbl>
      <w:tblPr>
        <w:tblStyle w:val="45"/>
        <w:tblW w:w="93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7"/>
        <w:gridCol w:w="1074"/>
        <w:gridCol w:w="1965"/>
        <w:gridCol w:w="377"/>
        <w:gridCol w:w="5522"/>
      </w:tblGrid>
      <w:tr w14:paraId="28E1C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jc w:val="center"/>
        </w:trPr>
        <w:tc>
          <w:tcPr>
            <w:tcW w:w="9395" w:type="dxa"/>
            <w:gridSpan w:val="5"/>
            <w:noWrap/>
            <w:vAlign w:val="center"/>
          </w:tcPr>
          <w:p w14:paraId="0E5095CB">
            <w:pPr>
              <w:pStyle w:val="248"/>
              <w:spacing w:before="0" w:line="240" w:lineRule="auto"/>
              <w:ind w:right="0"/>
              <w:rPr>
                <w:color w:val="auto"/>
                <w:sz w:val="24"/>
                <w:szCs w:val="24"/>
                <w:highlight w:val="none"/>
              </w:rPr>
            </w:pPr>
            <w:r>
              <w:rPr>
                <w:rFonts w:hint="eastAsia" w:cs="仿宋"/>
                <w:b/>
                <w:color w:val="auto"/>
                <w:sz w:val="24"/>
                <w:szCs w:val="24"/>
                <w:highlight w:val="none"/>
                <w:lang w:eastAsia="zh-CN"/>
              </w:rPr>
              <w:t>1.1资格审查</w:t>
            </w:r>
          </w:p>
        </w:tc>
      </w:tr>
      <w:tr w14:paraId="783602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jc w:val="center"/>
        </w:trPr>
        <w:tc>
          <w:tcPr>
            <w:tcW w:w="1531" w:type="dxa"/>
            <w:gridSpan w:val="2"/>
            <w:noWrap/>
            <w:vAlign w:val="center"/>
          </w:tcPr>
          <w:p w14:paraId="3F8782C9">
            <w:pPr>
              <w:jc w:val="center"/>
              <w:rPr>
                <w:rFonts w:ascii="宋体" w:hAnsi="宋体"/>
                <w:color w:val="auto"/>
                <w:highlight w:val="none"/>
              </w:rPr>
            </w:pPr>
            <w:r>
              <w:rPr>
                <w:rFonts w:hint="eastAsia" w:ascii="宋体" w:hAnsi="宋体"/>
                <w:color w:val="auto"/>
                <w:highlight w:val="none"/>
              </w:rPr>
              <w:t>评审事项</w:t>
            </w:r>
          </w:p>
        </w:tc>
        <w:tc>
          <w:tcPr>
            <w:tcW w:w="2342" w:type="dxa"/>
            <w:gridSpan w:val="2"/>
            <w:noWrap/>
            <w:vAlign w:val="center"/>
          </w:tcPr>
          <w:p w14:paraId="42FA64DA">
            <w:pPr>
              <w:jc w:val="center"/>
              <w:rPr>
                <w:rFonts w:ascii="宋体" w:hAnsi="宋体"/>
                <w:color w:val="auto"/>
                <w:highlight w:val="none"/>
              </w:rPr>
            </w:pPr>
            <w:r>
              <w:rPr>
                <w:rFonts w:hint="eastAsia" w:ascii="宋体" w:hAnsi="宋体"/>
                <w:color w:val="auto"/>
                <w:highlight w:val="none"/>
              </w:rPr>
              <w:t>评审因素</w:t>
            </w:r>
          </w:p>
        </w:tc>
        <w:tc>
          <w:tcPr>
            <w:tcW w:w="5522" w:type="dxa"/>
            <w:noWrap/>
            <w:vAlign w:val="center"/>
          </w:tcPr>
          <w:p w14:paraId="00CF2599">
            <w:pPr>
              <w:jc w:val="center"/>
              <w:rPr>
                <w:rFonts w:ascii="宋体" w:hAnsi="宋体"/>
                <w:color w:val="auto"/>
                <w:highlight w:val="none"/>
              </w:rPr>
            </w:pPr>
            <w:r>
              <w:rPr>
                <w:rFonts w:hint="eastAsia" w:ascii="宋体" w:hAnsi="宋体"/>
                <w:color w:val="auto"/>
                <w:highlight w:val="none"/>
              </w:rPr>
              <w:t>评审标准</w:t>
            </w:r>
          </w:p>
        </w:tc>
      </w:tr>
      <w:tr w14:paraId="04EB6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7" w:hRule="atLeast"/>
          <w:jc w:val="center"/>
        </w:trPr>
        <w:tc>
          <w:tcPr>
            <w:tcW w:w="1531" w:type="dxa"/>
            <w:gridSpan w:val="2"/>
            <w:vMerge w:val="restart"/>
            <w:noWrap/>
            <w:vAlign w:val="center"/>
          </w:tcPr>
          <w:p w14:paraId="3B4F3E8F">
            <w:pPr>
              <w:jc w:val="center"/>
              <w:rPr>
                <w:rFonts w:ascii="宋体" w:hAnsi="宋体"/>
                <w:color w:val="auto"/>
                <w:highlight w:val="none"/>
              </w:rPr>
            </w:pPr>
            <w:r>
              <w:rPr>
                <w:rFonts w:hint="eastAsia" w:ascii="宋体" w:hAnsi="宋体"/>
                <w:color w:val="auto"/>
                <w:highlight w:val="none"/>
              </w:rPr>
              <w:t>资格审查</w:t>
            </w:r>
          </w:p>
        </w:tc>
        <w:tc>
          <w:tcPr>
            <w:tcW w:w="2342" w:type="dxa"/>
            <w:gridSpan w:val="2"/>
            <w:noWrap/>
            <w:vAlign w:val="center"/>
          </w:tcPr>
          <w:p w14:paraId="31DCF7E6">
            <w:pPr>
              <w:rPr>
                <w:rFonts w:ascii="宋体" w:hAnsi="宋体"/>
                <w:color w:val="auto"/>
                <w:highlight w:val="none"/>
              </w:rPr>
            </w:pPr>
            <w:r>
              <w:rPr>
                <w:rFonts w:hint="eastAsia"/>
                <w:color w:val="auto"/>
                <w:highlight w:val="none"/>
              </w:rPr>
              <w:t>基本资格条件的承诺</w:t>
            </w:r>
          </w:p>
        </w:tc>
        <w:tc>
          <w:tcPr>
            <w:tcW w:w="5522" w:type="dxa"/>
            <w:noWrap/>
            <w:vAlign w:val="center"/>
          </w:tcPr>
          <w:p w14:paraId="690677E2">
            <w:pPr>
              <w:rPr>
                <w:rFonts w:ascii="宋体" w:hAnsi="宋体"/>
                <w:color w:val="auto"/>
                <w:highlight w:val="none"/>
              </w:rPr>
            </w:pPr>
            <w:r>
              <w:rPr>
                <w:rFonts w:hint="eastAsia"/>
                <w:color w:val="auto"/>
                <w:highlight w:val="none"/>
              </w:rPr>
              <w:t>根据供应商提供的承诺书，内容完整且具有法人及法定代表人的印章。（内容及格式参照第五章《供应商基本资格条件承诺书》）</w:t>
            </w:r>
          </w:p>
        </w:tc>
      </w:tr>
      <w:tr w14:paraId="43FD83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03" w:hRule="atLeast"/>
          <w:jc w:val="center"/>
        </w:trPr>
        <w:tc>
          <w:tcPr>
            <w:tcW w:w="1531" w:type="dxa"/>
            <w:gridSpan w:val="2"/>
            <w:vMerge w:val="continue"/>
            <w:noWrap/>
            <w:vAlign w:val="center"/>
          </w:tcPr>
          <w:p w14:paraId="64343718">
            <w:pPr>
              <w:jc w:val="center"/>
              <w:rPr>
                <w:rFonts w:ascii="宋体" w:hAnsi="宋体"/>
                <w:color w:val="auto"/>
                <w:highlight w:val="none"/>
              </w:rPr>
            </w:pPr>
          </w:p>
        </w:tc>
        <w:tc>
          <w:tcPr>
            <w:tcW w:w="2342" w:type="dxa"/>
            <w:gridSpan w:val="2"/>
            <w:noWrap/>
            <w:vAlign w:val="center"/>
          </w:tcPr>
          <w:p w14:paraId="29370C69">
            <w:pPr>
              <w:spacing w:line="280" w:lineRule="exact"/>
              <w:jc w:val="center"/>
              <w:rPr>
                <w:rFonts w:ascii="宋体" w:hAnsi="宋体" w:cs="宋体"/>
                <w:color w:val="auto"/>
                <w:highlight w:val="none"/>
              </w:rPr>
            </w:pPr>
            <w:r>
              <w:rPr>
                <w:rFonts w:hint="eastAsia" w:ascii="宋体" w:hAnsi="宋体" w:cs="宋体"/>
                <w:color w:val="auto"/>
                <w:highlight w:val="none"/>
              </w:rPr>
              <w:t>落实政府采购政策需满足的资格要求</w:t>
            </w:r>
          </w:p>
        </w:tc>
        <w:tc>
          <w:tcPr>
            <w:tcW w:w="5522" w:type="dxa"/>
            <w:noWrap/>
            <w:vAlign w:val="center"/>
          </w:tcPr>
          <w:p w14:paraId="74686BB3">
            <w:pPr>
              <w:spacing w:line="280" w:lineRule="exact"/>
              <w:jc w:val="left"/>
              <w:rPr>
                <w:rFonts w:ascii="宋体" w:hAnsi="宋体" w:cs="宋体"/>
                <w:color w:val="auto"/>
                <w:highlight w:val="none"/>
              </w:rPr>
            </w:pPr>
            <w:r>
              <w:rPr>
                <w:rFonts w:hint="eastAsia" w:ascii="宋体" w:hAnsi="宋体" w:cs="宋体"/>
                <w:color w:val="auto"/>
                <w:highlight w:val="none"/>
              </w:rPr>
              <w:t>本项目为专门面向中小企业的项目。（供应商应为中小微企业、监狱企业、残疾人福利性单位，并提供相应证明资料（证明资料要求见本竞争性磋商文件“第二章 供应商须知1.4.2”）如未按要求填写和提供有效证明或相关内容表述不清的，视作不满足此资格要求。）</w:t>
            </w:r>
          </w:p>
        </w:tc>
      </w:tr>
      <w:tr w14:paraId="5F257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7" w:hRule="atLeast"/>
          <w:jc w:val="center"/>
        </w:trPr>
        <w:tc>
          <w:tcPr>
            <w:tcW w:w="1531" w:type="dxa"/>
            <w:gridSpan w:val="2"/>
            <w:vMerge w:val="continue"/>
            <w:noWrap/>
            <w:vAlign w:val="center"/>
          </w:tcPr>
          <w:p w14:paraId="0344B965">
            <w:pPr>
              <w:jc w:val="center"/>
              <w:rPr>
                <w:rFonts w:ascii="宋体" w:hAnsi="宋体"/>
                <w:color w:val="auto"/>
                <w:highlight w:val="none"/>
              </w:rPr>
            </w:pPr>
          </w:p>
        </w:tc>
        <w:tc>
          <w:tcPr>
            <w:tcW w:w="2342" w:type="dxa"/>
            <w:gridSpan w:val="2"/>
            <w:noWrap/>
            <w:vAlign w:val="center"/>
          </w:tcPr>
          <w:p w14:paraId="0D84747C">
            <w:pPr>
              <w:rPr>
                <w:color w:val="auto"/>
                <w:highlight w:val="none"/>
              </w:rPr>
            </w:pPr>
            <w:r>
              <w:rPr>
                <w:rFonts w:hint="eastAsia"/>
                <w:color w:val="auto"/>
                <w:highlight w:val="none"/>
              </w:rPr>
              <w:t>采购人根据本项目特点，要求供应商具备的特定资格要求</w:t>
            </w:r>
          </w:p>
        </w:tc>
        <w:tc>
          <w:tcPr>
            <w:tcW w:w="5522" w:type="dxa"/>
            <w:noWrap/>
            <w:vAlign w:val="center"/>
          </w:tcPr>
          <w:p w14:paraId="76831937">
            <w:pPr>
              <w:rPr>
                <w:color w:val="auto"/>
                <w:highlight w:val="none"/>
              </w:rPr>
            </w:pPr>
            <w:r>
              <w:rPr>
                <w:rFonts w:hint="eastAsia"/>
                <w:color w:val="auto"/>
                <w:highlight w:val="none"/>
              </w:rPr>
              <w:t>详见竞争性磋商公告。（提供相关证明材料扫描件并加盖供应商公章和签章完备的诚信投标承诺书）</w:t>
            </w:r>
          </w:p>
        </w:tc>
      </w:tr>
      <w:tr w14:paraId="748037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4" w:hRule="atLeast"/>
          <w:jc w:val="center"/>
        </w:trPr>
        <w:tc>
          <w:tcPr>
            <w:tcW w:w="9395" w:type="dxa"/>
            <w:gridSpan w:val="5"/>
            <w:noWrap/>
            <w:vAlign w:val="center"/>
          </w:tcPr>
          <w:p w14:paraId="41B98042">
            <w:pPr>
              <w:jc w:val="center"/>
              <w:rPr>
                <w:rFonts w:ascii="宋体" w:hAnsi="宋体"/>
                <w:b/>
                <w:color w:val="auto"/>
                <w:highlight w:val="none"/>
              </w:rPr>
            </w:pPr>
            <w:r>
              <w:rPr>
                <w:rFonts w:hint="eastAsia" w:ascii="宋体" w:hAnsi="宋体"/>
                <w:b/>
                <w:color w:val="auto"/>
                <w:highlight w:val="none"/>
              </w:rPr>
              <w:t>响应文件不符合评审标准之一的，评审结论为不合格。</w:t>
            </w:r>
          </w:p>
        </w:tc>
      </w:tr>
      <w:tr w14:paraId="47A7FD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jc w:val="center"/>
        </w:trPr>
        <w:tc>
          <w:tcPr>
            <w:tcW w:w="9395" w:type="dxa"/>
            <w:gridSpan w:val="5"/>
            <w:noWrap/>
            <w:vAlign w:val="center"/>
          </w:tcPr>
          <w:p w14:paraId="75062778">
            <w:pPr>
              <w:pStyle w:val="248"/>
              <w:spacing w:before="0" w:line="240" w:lineRule="auto"/>
              <w:ind w:right="0"/>
              <w:rPr>
                <w:color w:val="auto"/>
                <w:sz w:val="24"/>
                <w:szCs w:val="24"/>
                <w:highlight w:val="none"/>
              </w:rPr>
            </w:pPr>
            <w:r>
              <w:rPr>
                <w:rFonts w:hint="eastAsia" w:cs="仿宋"/>
                <w:b/>
                <w:color w:val="auto"/>
                <w:sz w:val="24"/>
                <w:szCs w:val="24"/>
                <w:highlight w:val="none"/>
                <w:lang w:eastAsia="zh-CN"/>
              </w:rPr>
              <w:t>4.2响应性评审</w:t>
            </w:r>
          </w:p>
        </w:tc>
      </w:tr>
      <w:tr w14:paraId="10A67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jc w:val="center"/>
        </w:trPr>
        <w:tc>
          <w:tcPr>
            <w:tcW w:w="1531" w:type="dxa"/>
            <w:gridSpan w:val="2"/>
            <w:noWrap/>
            <w:vAlign w:val="center"/>
          </w:tcPr>
          <w:p w14:paraId="2C01230C">
            <w:pPr>
              <w:jc w:val="center"/>
              <w:rPr>
                <w:rFonts w:ascii="宋体" w:hAnsi="宋体"/>
                <w:color w:val="auto"/>
                <w:highlight w:val="none"/>
              </w:rPr>
            </w:pPr>
            <w:r>
              <w:rPr>
                <w:rFonts w:hint="eastAsia" w:ascii="宋体" w:hAnsi="宋体"/>
                <w:color w:val="auto"/>
                <w:highlight w:val="none"/>
              </w:rPr>
              <w:t>评审事项</w:t>
            </w:r>
          </w:p>
        </w:tc>
        <w:tc>
          <w:tcPr>
            <w:tcW w:w="2342" w:type="dxa"/>
            <w:gridSpan w:val="2"/>
            <w:noWrap/>
            <w:vAlign w:val="center"/>
          </w:tcPr>
          <w:p w14:paraId="64FFC3D8">
            <w:pPr>
              <w:jc w:val="center"/>
              <w:rPr>
                <w:rFonts w:ascii="宋体" w:hAnsi="宋体"/>
                <w:color w:val="auto"/>
                <w:highlight w:val="none"/>
              </w:rPr>
            </w:pPr>
            <w:r>
              <w:rPr>
                <w:rFonts w:hint="eastAsia" w:ascii="宋体" w:hAnsi="宋体"/>
                <w:color w:val="auto"/>
                <w:highlight w:val="none"/>
              </w:rPr>
              <w:t>评审因素</w:t>
            </w:r>
          </w:p>
        </w:tc>
        <w:tc>
          <w:tcPr>
            <w:tcW w:w="5522" w:type="dxa"/>
            <w:noWrap/>
            <w:vAlign w:val="center"/>
          </w:tcPr>
          <w:p w14:paraId="3671343D">
            <w:pPr>
              <w:jc w:val="center"/>
              <w:rPr>
                <w:rFonts w:ascii="宋体" w:hAnsi="宋体"/>
                <w:color w:val="auto"/>
                <w:highlight w:val="none"/>
              </w:rPr>
            </w:pPr>
            <w:r>
              <w:rPr>
                <w:rFonts w:hint="eastAsia" w:ascii="宋体" w:hAnsi="宋体"/>
                <w:color w:val="auto"/>
                <w:highlight w:val="none"/>
              </w:rPr>
              <w:t>评审标准</w:t>
            </w:r>
          </w:p>
        </w:tc>
      </w:tr>
      <w:tr w14:paraId="3C87A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1531" w:type="dxa"/>
            <w:gridSpan w:val="2"/>
            <w:vMerge w:val="restart"/>
            <w:noWrap/>
            <w:vAlign w:val="center"/>
          </w:tcPr>
          <w:p w14:paraId="6AB83BDD">
            <w:pPr>
              <w:jc w:val="center"/>
              <w:rPr>
                <w:rFonts w:ascii="宋体" w:hAnsi="宋体"/>
                <w:color w:val="auto"/>
                <w:highlight w:val="none"/>
              </w:rPr>
            </w:pPr>
            <w:r>
              <w:rPr>
                <w:rFonts w:hint="eastAsia" w:ascii="宋体" w:hAnsi="宋体"/>
                <w:color w:val="auto"/>
                <w:highlight w:val="none"/>
              </w:rPr>
              <w:t>响应性评审</w:t>
            </w:r>
          </w:p>
        </w:tc>
        <w:tc>
          <w:tcPr>
            <w:tcW w:w="2342" w:type="dxa"/>
            <w:gridSpan w:val="2"/>
            <w:noWrap/>
            <w:vAlign w:val="center"/>
          </w:tcPr>
          <w:p w14:paraId="48E0ADFE">
            <w:pPr>
              <w:jc w:val="center"/>
              <w:rPr>
                <w:rFonts w:ascii="宋体" w:hAnsi="宋体"/>
                <w:color w:val="auto"/>
                <w:highlight w:val="none"/>
              </w:rPr>
            </w:pPr>
            <w:r>
              <w:rPr>
                <w:rFonts w:hint="eastAsia" w:ascii="宋体" w:hAnsi="宋体"/>
                <w:color w:val="auto"/>
                <w:highlight w:val="none"/>
              </w:rPr>
              <w:t>报价</w:t>
            </w:r>
          </w:p>
        </w:tc>
        <w:tc>
          <w:tcPr>
            <w:tcW w:w="5522" w:type="dxa"/>
            <w:noWrap/>
            <w:vAlign w:val="center"/>
          </w:tcPr>
          <w:p w14:paraId="1A3FF964">
            <w:pPr>
              <w:jc w:val="left"/>
              <w:rPr>
                <w:rFonts w:hint="eastAsia" w:ascii="宋体" w:hAnsi="宋体" w:eastAsia="宋体"/>
                <w:color w:val="auto"/>
                <w:highlight w:val="none"/>
                <w:lang w:eastAsia="zh-CN"/>
              </w:rPr>
            </w:pPr>
            <w:r>
              <w:rPr>
                <w:rFonts w:hint="eastAsia" w:ascii="宋体" w:hAnsi="宋体"/>
                <w:color w:val="auto"/>
                <w:highlight w:val="none"/>
              </w:rPr>
              <w:t>有且只有一个有效报价，未超过最高限价</w:t>
            </w:r>
            <w:r>
              <w:rPr>
                <w:rFonts w:hint="eastAsia" w:ascii="宋体" w:hAnsi="宋体"/>
                <w:color w:val="auto"/>
                <w:highlight w:val="none"/>
                <w:lang w:eastAsia="zh-CN"/>
              </w:rPr>
              <w:t>。</w:t>
            </w:r>
          </w:p>
        </w:tc>
      </w:tr>
      <w:tr w14:paraId="1660C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531" w:type="dxa"/>
            <w:gridSpan w:val="2"/>
            <w:vMerge w:val="continue"/>
            <w:noWrap/>
            <w:vAlign w:val="center"/>
          </w:tcPr>
          <w:p w14:paraId="1683EA74">
            <w:pPr>
              <w:jc w:val="center"/>
              <w:rPr>
                <w:rFonts w:ascii="宋体" w:hAnsi="宋体"/>
                <w:color w:val="auto"/>
                <w:highlight w:val="none"/>
              </w:rPr>
            </w:pPr>
          </w:p>
        </w:tc>
        <w:tc>
          <w:tcPr>
            <w:tcW w:w="2342" w:type="dxa"/>
            <w:gridSpan w:val="2"/>
            <w:noWrap/>
            <w:vAlign w:val="center"/>
          </w:tcPr>
          <w:p w14:paraId="341814D4">
            <w:pPr>
              <w:jc w:val="center"/>
              <w:rPr>
                <w:rFonts w:ascii="宋体" w:hAnsi="宋体"/>
                <w:color w:val="auto"/>
                <w:highlight w:val="none"/>
              </w:rPr>
            </w:pPr>
            <w:r>
              <w:rPr>
                <w:rFonts w:hint="eastAsia" w:ascii="宋体" w:hAnsi="宋体"/>
                <w:color w:val="auto"/>
                <w:highlight w:val="none"/>
              </w:rPr>
              <w:t>响应文件的编制和签署</w:t>
            </w:r>
          </w:p>
        </w:tc>
        <w:tc>
          <w:tcPr>
            <w:tcW w:w="5522" w:type="dxa"/>
            <w:noWrap/>
            <w:vAlign w:val="center"/>
          </w:tcPr>
          <w:p w14:paraId="5543ECA7">
            <w:pPr>
              <w:jc w:val="left"/>
              <w:rPr>
                <w:rFonts w:hint="eastAsia" w:ascii="宋体" w:hAnsi="宋体" w:eastAsia="宋体"/>
                <w:color w:val="auto"/>
                <w:highlight w:val="none"/>
                <w:lang w:eastAsia="zh-CN"/>
              </w:rPr>
            </w:pPr>
            <w:r>
              <w:rPr>
                <w:color w:val="auto"/>
                <w:highlight w:val="none"/>
              </w:rPr>
              <w:t>符合第二章“</w:t>
            </w:r>
            <w:r>
              <w:rPr>
                <w:rFonts w:hint="eastAsia"/>
                <w:color w:val="auto"/>
                <w:highlight w:val="none"/>
              </w:rPr>
              <w:t>供应商</w:t>
            </w:r>
            <w:r>
              <w:rPr>
                <w:color w:val="auto"/>
                <w:highlight w:val="none"/>
              </w:rPr>
              <w:t>须知”第</w:t>
            </w:r>
            <w:r>
              <w:rPr>
                <w:rFonts w:hint="eastAsia"/>
                <w:color w:val="auto"/>
                <w:highlight w:val="none"/>
              </w:rPr>
              <w:t>3.5和3.6</w:t>
            </w:r>
            <w:r>
              <w:rPr>
                <w:color w:val="auto"/>
                <w:highlight w:val="none"/>
              </w:rPr>
              <w:t>项规定</w:t>
            </w:r>
            <w:r>
              <w:rPr>
                <w:rFonts w:hint="eastAsia"/>
                <w:color w:val="auto"/>
                <w:highlight w:val="none"/>
                <w:lang w:eastAsia="zh-CN"/>
              </w:rPr>
              <w:t>。</w:t>
            </w:r>
          </w:p>
        </w:tc>
      </w:tr>
      <w:tr w14:paraId="171AB4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9" w:hRule="atLeast"/>
          <w:jc w:val="center"/>
        </w:trPr>
        <w:tc>
          <w:tcPr>
            <w:tcW w:w="1531" w:type="dxa"/>
            <w:gridSpan w:val="2"/>
            <w:vMerge w:val="continue"/>
            <w:noWrap/>
            <w:vAlign w:val="center"/>
          </w:tcPr>
          <w:p w14:paraId="2163B6AE">
            <w:pPr>
              <w:jc w:val="center"/>
              <w:rPr>
                <w:rFonts w:ascii="宋体" w:hAnsi="宋体"/>
                <w:color w:val="auto"/>
                <w:highlight w:val="none"/>
              </w:rPr>
            </w:pPr>
          </w:p>
        </w:tc>
        <w:tc>
          <w:tcPr>
            <w:tcW w:w="2342" w:type="dxa"/>
            <w:gridSpan w:val="2"/>
            <w:noWrap/>
            <w:vAlign w:val="center"/>
          </w:tcPr>
          <w:p w14:paraId="744F7066">
            <w:pPr>
              <w:jc w:val="center"/>
              <w:rPr>
                <w:color w:val="auto"/>
                <w:highlight w:val="none"/>
              </w:rPr>
            </w:pPr>
            <w:r>
              <w:rPr>
                <w:rFonts w:hint="eastAsia"/>
                <w:color w:val="auto"/>
                <w:highlight w:val="none"/>
              </w:rPr>
              <w:t>合同履行期限</w:t>
            </w:r>
          </w:p>
        </w:tc>
        <w:tc>
          <w:tcPr>
            <w:tcW w:w="5522" w:type="dxa"/>
            <w:noWrap/>
            <w:vAlign w:val="center"/>
          </w:tcPr>
          <w:p w14:paraId="29C1D693">
            <w:pPr>
              <w:rPr>
                <w:rFonts w:hint="eastAsia" w:eastAsia="宋体"/>
                <w:color w:val="auto"/>
                <w:highlight w:val="none"/>
                <w:lang w:eastAsia="zh-CN"/>
              </w:rPr>
            </w:pPr>
            <w:r>
              <w:rPr>
                <w:color w:val="auto"/>
                <w:highlight w:val="none"/>
              </w:rPr>
              <w:t>符合第二章“</w:t>
            </w:r>
            <w:r>
              <w:rPr>
                <w:rFonts w:hint="eastAsia"/>
                <w:color w:val="auto"/>
                <w:highlight w:val="none"/>
              </w:rPr>
              <w:t>供应商</w:t>
            </w:r>
            <w:r>
              <w:rPr>
                <w:color w:val="auto"/>
                <w:highlight w:val="none"/>
              </w:rPr>
              <w:t>须知”第1.3.2项规定</w:t>
            </w:r>
            <w:r>
              <w:rPr>
                <w:rFonts w:hint="eastAsia"/>
                <w:color w:val="auto"/>
                <w:highlight w:val="none"/>
                <w:lang w:eastAsia="zh-CN"/>
              </w:rPr>
              <w:t>。</w:t>
            </w:r>
          </w:p>
        </w:tc>
      </w:tr>
      <w:tr w14:paraId="126081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531" w:type="dxa"/>
            <w:gridSpan w:val="2"/>
            <w:vMerge w:val="continue"/>
            <w:noWrap/>
            <w:vAlign w:val="center"/>
          </w:tcPr>
          <w:p w14:paraId="7F89CD65">
            <w:pPr>
              <w:jc w:val="center"/>
              <w:rPr>
                <w:rFonts w:ascii="宋体" w:hAnsi="宋体"/>
                <w:color w:val="auto"/>
                <w:highlight w:val="none"/>
              </w:rPr>
            </w:pPr>
          </w:p>
        </w:tc>
        <w:tc>
          <w:tcPr>
            <w:tcW w:w="2342" w:type="dxa"/>
            <w:gridSpan w:val="2"/>
            <w:noWrap/>
            <w:vAlign w:val="center"/>
          </w:tcPr>
          <w:p w14:paraId="3DDFDDAA">
            <w:pPr>
              <w:jc w:val="center"/>
              <w:rPr>
                <w:rFonts w:ascii="宋体" w:hAnsi="宋体"/>
                <w:color w:val="auto"/>
                <w:highlight w:val="none"/>
              </w:rPr>
            </w:pPr>
            <w:r>
              <w:rPr>
                <w:rFonts w:hint="eastAsia" w:ascii="宋体" w:hAnsi="宋体"/>
                <w:color w:val="auto"/>
                <w:highlight w:val="none"/>
              </w:rPr>
              <w:t>技术要求响应</w:t>
            </w:r>
          </w:p>
        </w:tc>
        <w:tc>
          <w:tcPr>
            <w:tcW w:w="5522" w:type="dxa"/>
            <w:noWrap/>
            <w:vAlign w:val="center"/>
          </w:tcPr>
          <w:p w14:paraId="319B2157">
            <w:pPr>
              <w:jc w:val="left"/>
              <w:rPr>
                <w:rFonts w:hint="eastAsia" w:ascii="宋体" w:hAnsi="宋体" w:eastAsia="宋体"/>
                <w:color w:val="auto"/>
                <w:highlight w:val="none"/>
                <w:lang w:eastAsia="zh-CN"/>
              </w:rPr>
            </w:pPr>
            <w:r>
              <w:rPr>
                <w:rFonts w:hint="eastAsia" w:ascii="宋体" w:hAnsi="宋体"/>
                <w:color w:val="auto"/>
                <w:highlight w:val="none"/>
              </w:rPr>
              <w:t>如磋商后技术要求有变动的，按磋商后确定的技术要求提供相应材料</w:t>
            </w:r>
            <w:r>
              <w:rPr>
                <w:rFonts w:hint="eastAsia" w:ascii="宋体" w:hAnsi="宋体"/>
                <w:color w:val="auto"/>
                <w:highlight w:val="none"/>
                <w:lang w:eastAsia="zh-CN"/>
              </w:rPr>
              <w:t>。</w:t>
            </w:r>
          </w:p>
        </w:tc>
      </w:tr>
      <w:tr w14:paraId="178A1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531" w:type="dxa"/>
            <w:gridSpan w:val="2"/>
            <w:vMerge w:val="continue"/>
            <w:noWrap/>
            <w:vAlign w:val="center"/>
          </w:tcPr>
          <w:p w14:paraId="62284903">
            <w:pPr>
              <w:jc w:val="center"/>
              <w:rPr>
                <w:rFonts w:ascii="宋体" w:hAnsi="宋体"/>
                <w:color w:val="auto"/>
                <w:highlight w:val="none"/>
              </w:rPr>
            </w:pPr>
          </w:p>
        </w:tc>
        <w:tc>
          <w:tcPr>
            <w:tcW w:w="2342" w:type="dxa"/>
            <w:gridSpan w:val="2"/>
            <w:noWrap/>
            <w:vAlign w:val="center"/>
          </w:tcPr>
          <w:p w14:paraId="1066B87E">
            <w:pPr>
              <w:jc w:val="center"/>
              <w:rPr>
                <w:rFonts w:ascii="宋体" w:hAnsi="宋体"/>
                <w:color w:val="auto"/>
                <w:highlight w:val="none"/>
              </w:rPr>
            </w:pPr>
            <w:r>
              <w:rPr>
                <w:rFonts w:hint="eastAsia" w:ascii="宋体" w:hAnsi="宋体"/>
                <w:color w:val="auto"/>
                <w:highlight w:val="none"/>
              </w:rPr>
              <w:t>商务要求响应</w:t>
            </w:r>
          </w:p>
        </w:tc>
        <w:tc>
          <w:tcPr>
            <w:tcW w:w="5522" w:type="dxa"/>
            <w:noWrap/>
            <w:vAlign w:val="center"/>
          </w:tcPr>
          <w:p w14:paraId="1A1DF2A1">
            <w:pPr>
              <w:jc w:val="left"/>
              <w:rPr>
                <w:rFonts w:hint="eastAsia" w:ascii="宋体" w:hAnsi="宋体" w:eastAsia="宋体"/>
                <w:color w:val="auto"/>
                <w:highlight w:val="none"/>
                <w:lang w:eastAsia="zh-CN"/>
              </w:rPr>
            </w:pPr>
            <w:r>
              <w:rPr>
                <w:rFonts w:hint="eastAsia" w:ascii="宋体" w:hAnsi="宋体"/>
                <w:color w:val="auto"/>
                <w:highlight w:val="none"/>
              </w:rPr>
              <w:t>如磋商后商务要求有变动的，按磋商后确定的商务要求提供相应材料</w:t>
            </w:r>
            <w:r>
              <w:rPr>
                <w:rFonts w:hint="eastAsia" w:ascii="宋体" w:hAnsi="宋体"/>
                <w:color w:val="auto"/>
                <w:highlight w:val="none"/>
                <w:lang w:eastAsia="zh-CN"/>
              </w:rPr>
              <w:t>。</w:t>
            </w:r>
          </w:p>
        </w:tc>
      </w:tr>
      <w:tr w14:paraId="1DA38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531" w:type="dxa"/>
            <w:gridSpan w:val="2"/>
            <w:vMerge w:val="continue"/>
            <w:noWrap/>
            <w:vAlign w:val="center"/>
          </w:tcPr>
          <w:p w14:paraId="24F57F85">
            <w:pPr>
              <w:jc w:val="center"/>
              <w:rPr>
                <w:rFonts w:ascii="宋体" w:hAnsi="宋体"/>
                <w:color w:val="auto"/>
                <w:highlight w:val="none"/>
              </w:rPr>
            </w:pPr>
            <w:bookmarkStart w:id="434" w:name="OLE_LINK9"/>
            <w:bookmarkStart w:id="435" w:name="_Hlk184662461"/>
            <w:bookmarkStart w:id="436" w:name="OLE_LINK10"/>
          </w:p>
        </w:tc>
        <w:tc>
          <w:tcPr>
            <w:tcW w:w="2342" w:type="dxa"/>
            <w:gridSpan w:val="2"/>
            <w:noWrap/>
            <w:vAlign w:val="center"/>
          </w:tcPr>
          <w:p w14:paraId="018626C6">
            <w:pPr>
              <w:jc w:val="center"/>
              <w:rPr>
                <w:rFonts w:ascii="宋体" w:hAnsi="宋体"/>
                <w:color w:val="auto"/>
                <w:highlight w:val="none"/>
              </w:rPr>
            </w:pPr>
            <w:r>
              <w:rPr>
                <w:rFonts w:hint="eastAsia" w:ascii="宋体" w:hAnsi="宋体"/>
                <w:color w:val="auto"/>
                <w:highlight w:val="none"/>
              </w:rPr>
              <w:t>合同草案条款响应</w:t>
            </w:r>
          </w:p>
        </w:tc>
        <w:tc>
          <w:tcPr>
            <w:tcW w:w="5522" w:type="dxa"/>
            <w:noWrap/>
            <w:vAlign w:val="center"/>
          </w:tcPr>
          <w:p w14:paraId="69C6950E">
            <w:pPr>
              <w:jc w:val="left"/>
              <w:rPr>
                <w:rFonts w:hint="eastAsia" w:ascii="宋体" w:hAnsi="宋体" w:eastAsia="宋体"/>
                <w:color w:val="auto"/>
                <w:highlight w:val="none"/>
                <w:lang w:eastAsia="zh-CN"/>
              </w:rPr>
            </w:pPr>
            <w:r>
              <w:rPr>
                <w:rFonts w:hint="eastAsia" w:ascii="宋体" w:hAnsi="宋体"/>
                <w:color w:val="auto"/>
                <w:highlight w:val="none"/>
              </w:rPr>
              <w:t>如磋商后合同草案条款有变动的，按磋商后确定的合同草案条款响应</w:t>
            </w:r>
            <w:bookmarkEnd w:id="434"/>
            <w:bookmarkEnd w:id="435"/>
            <w:bookmarkEnd w:id="436"/>
            <w:r>
              <w:rPr>
                <w:rFonts w:hint="eastAsia" w:ascii="宋体" w:hAnsi="宋体"/>
                <w:color w:val="auto"/>
                <w:highlight w:val="none"/>
                <w:lang w:eastAsia="zh-CN"/>
              </w:rPr>
              <w:t>。</w:t>
            </w:r>
          </w:p>
        </w:tc>
      </w:tr>
      <w:tr w14:paraId="702BF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9395" w:type="dxa"/>
            <w:gridSpan w:val="5"/>
            <w:noWrap/>
            <w:vAlign w:val="center"/>
          </w:tcPr>
          <w:p w14:paraId="09A03C0F">
            <w:pPr>
              <w:jc w:val="center"/>
              <w:rPr>
                <w:rFonts w:ascii="宋体" w:hAnsi="宋体"/>
                <w:b/>
                <w:color w:val="auto"/>
                <w:highlight w:val="none"/>
              </w:rPr>
            </w:pPr>
            <w:r>
              <w:rPr>
                <w:rFonts w:hint="eastAsia" w:ascii="宋体" w:hAnsi="宋体"/>
                <w:b/>
                <w:color w:val="auto"/>
                <w:highlight w:val="none"/>
              </w:rPr>
              <w:t>响应文件不符合评审标准之一的，评审结论为不合格。</w:t>
            </w:r>
          </w:p>
        </w:tc>
      </w:tr>
      <w:tr w14:paraId="029C9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4" w:hRule="atLeast"/>
          <w:jc w:val="center"/>
        </w:trPr>
        <w:tc>
          <w:tcPr>
            <w:tcW w:w="9395" w:type="dxa"/>
            <w:gridSpan w:val="5"/>
            <w:noWrap/>
            <w:vAlign w:val="center"/>
          </w:tcPr>
          <w:p w14:paraId="181735D3">
            <w:pPr>
              <w:pStyle w:val="248"/>
              <w:spacing w:before="0" w:line="240" w:lineRule="auto"/>
              <w:ind w:right="0"/>
              <w:rPr>
                <w:rFonts w:cs="仿宋"/>
                <w:b/>
                <w:color w:val="auto"/>
                <w:sz w:val="24"/>
                <w:szCs w:val="24"/>
                <w:highlight w:val="none"/>
                <w:lang w:eastAsia="zh-CN"/>
              </w:rPr>
            </w:pPr>
            <w:r>
              <w:rPr>
                <w:rFonts w:hint="eastAsia" w:cs="仿宋"/>
                <w:b/>
                <w:color w:val="auto"/>
                <w:sz w:val="24"/>
                <w:szCs w:val="24"/>
                <w:highlight w:val="none"/>
                <w:lang w:eastAsia="zh-CN"/>
              </w:rPr>
              <w:t>5.2详细评审</w:t>
            </w:r>
            <w:bookmarkEnd w:id="412"/>
            <w:bookmarkEnd w:id="413"/>
            <w:bookmarkEnd w:id="414"/>
            <w:bookmarkEnd w:id="415"/>
            <w:bookmarkEnd w:id="416"/>
            <w:bookmarkEnd w:id="417"/>
            <w:bookmarkEnd w:id="418"/>
            <w:bookmarkEnd w:id="419"/>
            <w:bookmarkEnd w:id="420"/>
            <w:bookmarkEnd w:id="424"/>
            <w:bookmarkEnd w:id="425"/>
            <w:bookmarkEnd w:id="426"/>
            <w:bookmarkEnd w:id="427"/>
            <w:bookmarkEnd w:id="428"/>
            <w:bookmarkEnd w:id="429"/>
            <w:bookmarkEnd w:id="430"/>
            <w:bookmarkEnd w:id="431"/>
            <w:bookmarkEnd w:id="432"/>
            <w:bookmarkEnd w:id="433"/>
          </w:p>
        </w:tc>
      </w:tr>
      <w:tr w14:paraId="06131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457" w:type="dxa"/>
            <w:noWrap w:val="0"/>
            <w:vAlign w:val="center"/>
          </w:tcPr>
          <w:p w14:paraId="26F18244">
            <w:pPr>
              <w:widowControl/>
              <w:jc w:val="center"/>
              <w:rPr>
                <w:b/>
                <w:bCs/>
                <w:color w:val="auto"/>
                <w:highlight w:val="none"/>
              </w:rPr>
            </w:pPr>
            <w:bookmarkStart w:id="437" w:name="_Toc390099064"/>
            <w:bookmarkStart w:id="438" w:name="_Toc479757207"/>
            <w:bookmarkStart w:id="439" w:name="_Toc16938558"/>
            <w:bookmarkStart w:id="440" w:name="_Toc288030331"/>
            <w:bookmarkStart w:id="441" w:name="_Toc120614221"/>
            <w:bookmarkStart w:id="442" w:name="_Toc382813932"/>
            <w:bookmarkStart w:id="443" w:name="_Toc390246951"/>
            <w:bookmarkStart w:id="444" w:name="_Toc383623719"/>
            <w:bookmarkStart w:id="445" w:name="_Toc382814013"/>
            <w:bookmarkStart w:id="446" w:name="_Toc513029242"/>
            <w:bookmarkStart w:id="447" w:name="_Toc282446295"/>
            <w:bookmarkStart w:id="448" w:name="_Toc20823314"/>
            <w:bookmarkStart w:id="449" w:name="_Toc405388431"/>
            <w:bookmarkStart w:id="450" w:name="_Toc383626040"/>
            <w:bookmarkStart w:id="451" w:name="_Toc390098886"/>
            <w:bookmarkStart w:id="452" w:name="_Toc382812483"/>
            <w:bookmarkStart w:id="453" w:name="_Toc383587504"/>
            <w:bookmarkStart w:id="454" w:name="_Toc383623991"/>
            <w:bookmarkStart w:id="455" w:name="_Toc383679793"/>
            <w:bookmarkStart w:id="456" w:name="_Toc383698693"/>
            <w:bookmarkStart w:id="457" w:name="_Toc426469928"/>
            <w:r>
              <w:rPr>
                <w:rFonts w:hint="eastAsia"/>
                <w:b/>
                <w:bCs/>
                <w:color w:val="auto"/>
                <w:highlight w:val="none"/>
              </w:rPr>
              <w:t>序号</w:t>
            </w:r>
          </w:p>
        </w:tc>
        <w:tc>
          <w:tcPr>
            <w:tcW w:w="1074" w:type="dxa"/>
            <w:noWrap w:val="0"/>
            <w:vAlign w:val="center"/>
          </w:tcPr>
          <w:p w14:paraId="2F3CBAE6">
            <w:pPr>
              <w:widowControl/>
              <w:jc w:val="center"/>
              <w:rPr>
                <w:b/>
                <w:bCs/>
                <w:color w:val="auto"/>
                <w:highlight w:val="none"/>
              </w:rPr>
            </w:pPr>
            <w:r>
              <w:rPr>
                <w:rFonts w:hint="eastAsia"/>
                <w:b/>
                <w:bCs/>
                <w:color w:val="auto"/>
                <w:highlight w:val="none"/>
              </w:rPr>
              <w:t>得分</w:t>
            </w:r>
          </w:p>
          <w:p w14:paraId="1ECC70A1">
            <w:pPr>
              <w:widowControl/>
              <w:jc w:val="center"/>
              <w:rPr>
                <w:b/>
                <w:bCs/>
                <w:color w:val="auto"/>
                <w:highlight w:val="none"/>
              </w:rPr>
            </w:pPr>
            <w:r>
              <w:rPr>
                <w:rFonts w:hint="eastAsia"/>
                <w:b/>
                <w:bCs/>
                <w:color w:val="auto"/>
                <w:highlight w:val="none"/>
              </w:rPr>
              <w:t>组成</w:t>
            </w:r>
          </w:p>
        </w:tc>
        <w:tc>
          <w:tcPr>
            <w:tcW w:w="1965" w:type="dxa"/>
            <w:noWrap w:val="0"/>
            <w:vAlign w:val="center"/>
          </w:tcPr>
          <w:p w14:paraId="00558E96">
            <w:pPr>
              <w:widowControl/>
              <w:jc w:val="center"/>
              <w:rPr>
                <w:b/>
                <w:bCs/>
                <w:color w:val="auto"/>
                <w:highlight w:val="none"/>
              </w:rPr>
            </w:pPr>
            <w:r>
              <w:rPr>
                <w:rFonts w:hint="eastAsia"/>
                <w:b/>
                <w:bCs/>
                <w:color w:val="auto"/>
                <w:highlight w:val="none"/>
              </w:rPr>
              <w:t>评分标准</w:t>
            </w:r>
          </w:p>
          <w:p w14:paraId="27D14F36">
            <w:pPr>
              <w:widowControl/>
              <w:jc w:val="center"/>
              <w:rPr>
                <w:b/>
                <w:bCs/>
                <w:color w:val="auto"/>
                <w:highlight w:val="none"/>
              </w:rPr>
            </w:pPr>
            <w:r>
              <w:rPr>
                <w:rFonts w:hint="eastAsia"/>
                <w:b/>
                <w:bCs/>
                <w:color w:val="auto"/>
                <w:highlight w:val="none"/>
              </w:rPr>
              <w:t>内容</w:t>
            </w:r>
          </w:p>
        </w:tc>
        <w:tc>
          <w:tcPr>
            <w:tcW w:w="5899" w:type="dxa"/>
            <w:gridSpan w:val="2"/>
            <w:noWrap w:val="0"/>
            <w:vAlign w:val="center"/>
          </w:tcPr>
          <w:p w14:paraId="75787B27">
            <w:pPr>
              <w:widowControl/>
              <w:jc w:val="center"/>
              <w:rPr>
                <w:b/>
                <w:bCs/>
                <w:color w:val="auto"/>
                <w:highlight w:val="none"/>
              </w:rPr>
            </w:pPr>
            <w:r>
              <w:rPr>
                <w:rFonts w:hint="eastAsia"/>
                <w:b/>
                <w:bCs/>
                <w:color w:val="auto"/>
                <w:highlight w:val="none"/>
              </w:rPr>
              <w:t>评分标准</w:t>
            </w:r>
          </w:p>
        </w:tc>
      </w:tr>
      <w:tr w14:paraId="54AE0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4" w:hRule="atLeast"/>
          <w:jc w:val="center"/>
        </w:trPr>
        <w:tc>
          <w:tcPr>
            <w:tcW w:w="457" w:type="dxa"/>
            <w:noWrap w:val="0"/>
            <w:vAlign w:val="center"/>
          </w:tcPr>
          <w:p w14:paraId="44B47219">
            <w:pPr>
              <w:jc w:val="center"/>
              <w:rPr>
                <w:color w:val="auto"/>
                <w:highlight w:val="none"/>
                <w:lang w:eastAsia="en-US"/>
              </w:rPr>
            </w:pPr>
            <w:r>
              <w:rPr>
                <w:rFonts w:hint="eastAsia"/>
                <w:color w:val="auto"/>
                <w:highlight w:val="none"/>
                <w:lang w:eastAsia="en-US"/>
              </w:rPr>
              <w:t>1</w:t>
            </w:r>
          </w:p>
        </w:tc>
        <w:tc>
          <w:tcPr>
            <w:tcW w:w="1074" w:type="dxa"/>
            <w:noWrap w:val="0"/>
            <w:vAlign w:val="center"/>
          </w:tcPr>
          <w:p w14:paraId="543C29DD">
            <w:pPr>
              <w:jc w:val="center"/>
              <w:rPr>
                <w:color w:val="auto"/>
                <w:highlight w:val="none"/>
              </w:rPr>
            </w:pPr>
            <w:r>
              <w:rPr>
                <w:rFonts w:hint="eastAsia"/>
                <w:color w:val="auto"/>
                <w:highlight w:val="none"/>
                <w:lang w:eastAsia="en-US"/>
              </w:rPr>
              <w:t>投标报价</w:t>
            </w:r>
            <w:r>
              <w:rPr>
                <w:rFonts w:hint="eastAsia"/>
                <w:color w:val="auto"/>
                <w:highlight w:val="none"/>
              </w:rPr>
              <w:t>部分</w:t>
            </w:r>
          </w:p>
          <w:p w14:paraId="08E179A0">
            <w:pPr>
              <w:jc w:val="center"/>
              <w:rPr>
                <w:color w:val="auto"/>
                <w:highlight w:val="none"/>
              </w:rPr>
            </w:pPr>
            <w:r>
              <w:rPr>
                <w:rFonts w:hint="eastAsia"/>
                <w:color w:val="auto"/>
                <w:highlight w:val="none"/>
                <w:lang w:eastAsia="en-US"/>
              </w:rPr>
              <w:t>（</w:t>
            </w:r>
            <w:r>
              <w:rPr>
                <w:rFonts w:hint="eastAsia"/>
                <w:color w:val="auto"/>
                <w:highlight w:val="none"/>
                <w:lang w:val="en-US" w:eastAsia="zh-CN"/>
              </w:rPr>
              <w:t>50</w:t>
            </w:r>
            <w:r>
              <w:rPr>
                <w:rFonts w:hint="eastAsia"/>
                <w:color w:val="auto"/>
                <w:highlight w:val="none"/>
              </w:rPr>
              <w:t>分</w:t>
            </w:r>
            <w:r>
              <w:rPr>
                <w:rFonts w:hint="eastAsia"/>
                <w:color w:val="auto"/>
                <w:highlight w:val="none"/>
                <w:lang w:eastAsia="en-US"/>
              </w:rPr>
              <w:t>）</w:t>
            </w:r>
          </w:p>
        </w:tc>
        <w:tc>
          <w:tcPr>
            <w:tcW w:w="1965" w:type="dxa"/>
            <w:noWrap w:val="0"/>
            <w:vAlign w:val="center"/>
          </w:tcPr>
          <w:p w14:paraId="297F1178">
            <w:pPr>
              <w:jc w:val="center"/>
              <w:rPr>
                <w:color w:val="auto"/>
                <w:highlight w:val="none"/>
                <w:lang w:eastAsia="en-US"/>
              </w:rPr>
            </w:pPr>
            <w:r>
              <w:rPr>
                <w:rFonts w:hint="eastAsia"/>
                <w:color w:val="auto"/>
                <w:highlight w:val="none"/>
                <w:lang w:eastAsia="en-US"/>
              </w:rPr>
              <w:t>投标报价</w:t>
            </w:r>
          </w:p>
          <w:p w14:paraId="0009A4B6">
            <w:pPr>
              <w:jc w:val="center"/>
              <w:rPr>
                <w:color w:val="auto"/>
                <w:highlight w:val="none"/>
              </w:rPr>
            </w:pPr>
            <w:r>
              <w:rPr>
                <w:rFonts w:hint="eastAsia"/>
                <w:color w:val="auto"/>
                <w:highlight w:val="none"/>
              </w:rPr>
              <w:t>（</w:t>
            </w:r>
            <w:r>
              <w:rPr>
                <w:rFonts w:hint="eastAsia"/>
                <w:color w:val="auto"/>
                <w:highlight w:val="none"/>
                <w:lang w:val="en-US" w:eastAsia="zh-CN"/>
              </w:rPr>
              <w:t>50</w:t>
            </w:r>
            <w:r>
              <w:rPr>
                <w:rFonts w:hint="eastAsia"/>
                <w:color w:val="auto"/>
                <w:highlight w:val="none"/>
              </w:rPr>
              <w:t>分）</w:t>
            </w:r>
          </w:p>
        </w:tc>
        <w:tc>
          <w:tcPr>
            <w:tcW w:w="5899" w:type="dxa"/>
            <w:gridSpan w:val="2"/>
            <w:noWrap w:val="0"/>
            <w:vAlign w:val="center"/>
          </w:tcPr>
          <w:p w14:paraId="472F9698">
            <w:pPr>
              <w:jc w:val="left"/>
              <w:rPr>
                <w:rFonts w:hint="eastAsia"/>
                <w:color w:val="auto"/>
                <w:highlight w:val="none"/>
              </w:rPr>
            </w:pPr>
            <w:r>
              <w:rPr>
                <w:rFonts w:hint="eastAsia"/>
                <w:color w:val="auto"/>
                <w:highlight w:val="none"/>
                <w:lang w:val="en-US" w:eastAsia="zh-CN"/>
              </w:rPr>
              <w:t>1</w:t>
            </w:r>
            <w:r>
              <w:rPr>
                <w:rFonts w:hint="eastAsia" w:ascii="Times New Roman" w:hAnsi="Times New Roman" w:cs="Times New Roman"/>
                <w:color w:val="auto"/>
                <w:highlight w:val="none"/>
                <w:lang w:val="en-US" w:eastAsia="zh-CN"/>
              </w:rPr>
              <w:t>、</w:t>
            </w:r>
            <w:r>
              <w:rPr>
                <w:rFonts w:hint="eastAsia"/>
                <w:color w:val="auto"/>
                <w:highlight w:val="none"/>
              </w:rPr>
              <w:t>资格性审查和符合性审查合格且价格最低的有效报价为评标基准价，其价格分为</w:t>
            </w:r>
            <w:r>
              <w:rPr>
                <w:rFonts w:hint="eastAsia"/>
                <w:color w:val="auto"/>
                <w:highlight w:val="none"/>
                <w:lang w:val="en-US" w:eastAsia="zh-CN"/>
              </w:rPr>
              <w:t>50</w:t>
            </w:r>
            <w:r>
              <w:rPr>
                <w:rFonts w:hint="eastAsia"/>
                <w:color w:val="auto"/>
                <w:highlight w:val="none"/>
              </w:rPr>
              <w:t>分。其他供应商的价格分按照下列公式计算：投标报价得分=（评标基准价/最终磋商报价）×</w:t>
            </w:r>
            <w:r>
              <w:rPr>
                <w:rFonts w:hint="eastAsia"/>
                <w:color w:val="auto"/>
                <w:highlight w:val="none"/>
                <w:lang w:val="en-US" w:eastAsia="zh-CN"/>
              </w:rPr>
              <w:t>50</w:t>
            </w:r>
            <w:r>
              <w:rPr>
                <w:rFonts w:hint="eastAsia"/>
                <w:color w:val="auto"/>
                <w:highlight w:val="none"/>
              </w:rPr>
              <w:t>分（小数点后四舍五入保留两位）。</w:t>
            </w:r>
          </w:p>
          <w:p w14:paraId="31432532">
            <w:pPr>
              <w:jc w:val="left"/>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2、依据《关于推动解决政府采购异常低价问题相关工作的通知》(苏财购[2026]2号文)规定: (一) 评审过程中出现下列情形之一的，评审委员会应当启动异常低价投标(响应)审查程序：</w:t>
            </w:r>
          </w:p>
          <w:p w14:paraId="052333E7">
            <w:pPr>
              <w:jc w:val="left"/>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 xml:space="preserve">1.投标（响应）报价低于全部通过符合性审查供应商投标（响应）报价平均值50%的，即投标（响应）报价&lt;全部通过符合性审查供应商投标（响应）报价平均值×50%； </w:t>
            </w:r>
          </w:p>
          <w:p w14:paraId="4CB9D3F7">
            <w:pPr>
              <w:jc w:val="left"/>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 xml:space="preserve">2.投标（响应）报价低于通过符合性审查的次低报价供应商投标（响应）报价50%的，即投标（响应）报价&lt;通过符合性审查的次低报价供应商投标（响应）报价×50%； </w:t>
            </w:r>
          </w:p>
          <w:p w14:paraId="58E60C75">
            <w:pPr>
              <w:jc w:val="left"/>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 xml:space="preserve">3.投标（响应）报价低于采购项目最高限价45%的，即投标（响应）报价&lt;采购项目最高限价×45%； </w:t>
            </w:r>
          </w:p>
          <w:p w14:paraId="7EC40115">
            <w:pPr>
              <w:jc w:val="left"/>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 xml:space="preserve">4.评审委员会基于专业判断，认为供应商报价过低，有可能影响产品质量或者不能诚信履约的其他情形。 </w:t>
            </w:r>
          </w:p>
          <w:p w14:paraId="60475D81">
            <w:pPr>
              <w:jc w:val="left"/>
              <w:rPr>
                <w:rFonts w:hint="eastAsia"/>
                <w:color w:val="auto"/>
                <w:highlight w:val="none"/>
              </w:rPr>
            </w:pPr>
            <w:r>
              <w:rPr>
                <w:rFonts w:hint="eastAsia" w:ascii="Times New Roman" w:hAnsi="Times New Roman" w:cs="Times New Roman"/>
                <w:color w:val="auto"/>
                <w:highlight w:val="none"/>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tc>
      </w:tr>
      <w:tr w14:paraId="4F931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36" w:hRule="atLeast"/>
          <w:jc w:val="center"/>
        </w:trPr>
        <w:tc>
          <w:tcPr>
            <w:tcW w:w="457" w:type="dxa"/>
            <w:vMerge w:val="restart"/>
            <w:noWrap w:val="0"/>
            <w:vAlign w:val="center"/>
          </w:tcPr>
          <w:p w14:paraId="4191B394">
            <w:pPr>
              <w:rPr>
                <w:rFonts w:ascii="宋体" w:hAnsi="宋体" w:cs="宋体"/>
                <w:color w:val="auto"/>
                <w:highlight w:val="none"/>
                <w:lang w:eastAsia="en-US"/>
              </w:rPr>
            </w:pPr>
            <w:r>
              <w:rPr>
                <w:rFonts w:hint="eastAsia" w:ascii="宋体" w:hAnsi="宋体" w:cs="宋体"/>
                <w:color w:val="auto"/>
                <w:highlight w:val="none"/>
                <w:lang w:eastAsia="en-US"/>
              </w:rPr>
              <w:t>2</w:t>
            </w:r>
          </w:p>
          <w:p w14:paraId="60D4BCCC">
            <w:pPr>
              <w:rPr>
                <w:rFonts w:ascii="宋体" w:hAnsi="宋体" w:cs="宋体"/>
                <w:color w:val="auto"/>
                <w:highlight w:val="none"/>
                <w:lang w:eastAsia="en-US"/>
              </w:rPr>
            </w:pPr>
            <w:r>
              <w:rPr>
                <w:rFonts w:hint="eastAsia" w:ascii="宋体" w:hAnsi="宋体" w:cs="宋体"/>
                <w:color w:val="auto"/>
                <w:highlight w:val="none"/>
              </w:rPr>
              <w:br w:type="page" w:clear="all"/>
            </w:r>
          </w:p>
        </w:tc>
        <w:tc>
          <w:tcPr>
            <w:tcW w:w="1074" w:type="dxa"/>
            <w:vMerge w:val="restart"/>
            <w:noWrap w:val="0"/>
            <w:vAlign w:val="center"/>
          </w:tcPr>
          <w:p w14:paraId="61F176CD">
            <w:pPr>
              <w:jc w:val="center"/>
              <w:rPr>
                <w:color w:val="auto"/>
                <w:highlight w:val="none"/>
                <w:lang w:eastAsia="en-US"/>
              </w:rPr>
            </w:pPr>
            <w:r>
              <w:rPr>
                <w:rFonts w:hint="eastAsia"/>
                <w:color w:val="auto"/>
                <w:highlight w:val="none"/>
                <w:lang w:eastAsia="en-US"/>
              </w:rPr>
              <w:t>商务</w:t>
            </w:r>
          </w:p>
          <w:p w14:paraId="2D71C9A8">
            <w:pPr>
              <w:jc w:val="center"/>
              <w:rPr>
                <w:color w:val="auto"/>
                <w:highlight w:val="none"/>
                <w:lang w:eastAsia="en-US"/>
              </w:rPr>
            </w:pPr>
            <w:r>
              <w:rPr>
                <w:rFonts w:hint="eastAsia"/>
                <w:color w:val="auto"/>
                <w:highlight w:val="none"/>
                <w:lang w:eastAsia="en-US"/>
              </w:rPr>
              <w:t>部分</w:t>
            </w:r>
          </w:p>
          <w:p w14:paraId="22C90D8D">
            <w:pPr>
              <w:jc w:val="center"/>
              <w:rPr>
                <w:color w:val="auto"/>
                <w:highlight w:val="none"/>
                <w:lang w:eastAsia="en-US"/>
              </w:rPr>
            </w:pPr>
            <w:r>
              <w:rPr>
                <w:rFonts w:hint="eastAsia"/>
                <w:color w:val="auto"/>
                <w:highlight w:val="none"/>
                <w:lang w:eastAsia="en-US"/>
              </w:rPr>
              <w:t>（</w:t>
            </w:r>
            <w:r>
              <w:rPr>
                <w:rFonts w:hint="eastAsia"/>
                <w:color w:val="auto"/>
                <w:highlight w:val="none"/>
                <w:lang w:val="en-US" w:eastAsia="zh-CN"/>
              </w:rPr>
              <w:t>15</w:t>
            </w:r>
            <w:r>
              <w:rPr>
                <w:rFonts w:hint="eastAsia"/>
                <w:color w:val="auto"/>
                <w:highlight w:val="none"/>
                <w:lang w:eastAsia="en-US"/>
              </w:rPr>
              <w:t>分）</w:t>
            </w:r>
          </w:p>
        </w:tc>
        <w:tc>
          <w:tcPr>
            <w:tcW w:w="1965" w:type="dxa"/>
            <w:noWrap w:val="0"/>
            <w:vAlign w:val="center"/>
          </w:tcPr>
          <w:p w14:paraId="7D2098B0">
            <w:pPr>
              <w:jc w:val="center"/>
              <w:rPr>
                <w:color w:val="auto"/>
                <w:highlight w:val="none"/>
              </w:rPr>
            </w:pPr>
            <w:r>
              <w:rPr>
                <w:rFonts w:hint="eastAsia"/>
                <w:color w:val="auto"/>
                <w:highlight w:val="none"/>
              </w:rPr>
              <w:t>管理体系认证证书</w:t>
            </w:r>
          </w:p>
          <w:p w14:paraId="0035639D">
            <w:pPr>
              <w:jc w:val="center"/>
              <w:rPr>
                <w:color w:val="auto"/>
                <w:highlight w:val="none"/>
              </w:rPr>
            </w:pPr>
            <w:r>
              <w:rPr>
                <w:rFonts w:hint="eastAsia"/>
                <w:color w:val="auto"/>
                <w:highlight w:val="none"/>
              </w:rPr>
              <w:t>（</w:t>
            </w:r>
            <w:r>
              <w:rPr>
                <w:rFonts w:hint="eastAsia"/>
                <w:color w:val="auto"/>
                <w:highlight w:val="none"/>
                <w:lang w:val="en-US" w:eastAsia="zh-CN"/>
              </w:rPr>
              <w:t>3</w:t>
            </w:r>
            <w:r>
              <w:rPr>
                <w:rFonts w:hint="eastAsia"/>
                <w:color w:val="auto"/>
                <w:highlight w:val="none"/>
              </w:rPr>
              <w:t>分）</w:t>
            </w:r>
          </w:p>
        </w:tc>
        <w:tc>
          <w:tcPr>
            <w:tcW w:w="5899" w:type="dxa"/>
            <w:gridSpan w:val="2"/>
            <w:noWrap w:val="0"/>
            <w:vAlign w:val="center"/>
          </w:tcPr>
          <w:p w14:paraId="74421EEE">
            <w:pPr>
              <w:jc w:val="left"/>
              <w:rPr>
                <w:color w:val="auto"/>
                <w:highlight w:val="none"/>
              </w:rPr>
            </w:pPr>
            <w:r>
              <w:rPr>
                <w:rFonts w:hint="eastAsia"/>
                <w:color w:val="auto"/>
                <w:highlight w:val="none"/>
              </w:rPr>
              <w:t>供应商具有有效的质量管理体系认证证书、环境管理体系认证证书、职业健康安全管理体系认证证书的，有一个得</w:t>
            </w:r>
            <w:r>
              <w:rPr>
                <w:rFonts w:hint="eastAsia"/>
                <w:color w:val="auto"/>
                <w:highlight w:val="none"/>
                <w:lang w:val="en-US" w:eastAsia="zh-CN"/>
              </w:rPr>
              <w:t>1</w:t>
            </w:r>
            <w:r>
              <w:rPr>
                <w:rFonts w:hint="eastAsia"/>
                <w:color w:val="auto"/>
                <w:highlight w:val="none"/>
              </w:rPr>
              <w:t>分，最多得</w:t>
            </w:r>
            <w:r>
              <w:rPr>
                <w:rFonts w:hint="eastAsia"/>
                <w:color w:val="auto"/>
                <w:highlight w:val="none"/>
                <w:lang w:val="en-US" w:eastAsia="zh-CN"/>
              </w:rPr>
              <w:t>3</w:t>
            </w:r>
            <w:r>
              <w:rPr>
                <w:rFonts w:hint="eastAsia"/>
                <w:color w:val="auto"/>
                <w:highlight w:val="none"/>
              </w:rPr>
              <w:t>分。</w:t>
            </w:r>
          </w:p>
          <w:p w14:paraId="1FEF63A3">
            <w:pPr>
              <w:jc w:val="left"/>
              <w:rPr>
                <w:color w:val="auto"/>
                <w:highlight w:val="none"/>
              </w:rPr>
            </w:pPr>
            <w:r>
              <w:rPr>
                <w:rFonts w:hint="eastAsia"/>
                <w:b/>
                <w:bCs/>
                <w:color w:val="auto"/>
                <w:highlight w:val="none"/>
              </w:rPr>
              <w:t>注：证书均必须在有效期内并能够在国家认证认可监督管理委员会网址可查询且查询状态为有效。查询网址：http://cx.cnca.cn/CertECloud/index/index/page，并提供相应证书扫描件并加盖供应商公章，否则不得分。</w:t>
            </w:r>
          </w:p>
        </w:tc>
      </w:tr>
      <w:tr w14:paraId="52B60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80" w:hRule="atLeast"/>
          <w:jc w:val="center"/>
        </w:trPr>
        <w:tc>
          <w:tcPr>
            <w:tcW w:w="457" w:type="dxa"/>
            <w:vMerge w:val="continue"/>
            <w:noWrap w:val="0"/>
            <w:vAlign w:val="center"/>
          </w:tcPr>
          <w:p w14:paraId="35CAA5E1">
            <w:pPr>
              <w:rPr>
                <w:rFonts w:ascii="宋体" w:hAnsi="宋体" w:cs="宋体"/>
                <w:color w:val="auto"/>
                <w:highlight w:val="none"/>
              </w:rPr>
            </w:pPr>
          </w:p>
        </w:tc>
        <w:tc>
          <w:tcPr>
            <w:tcW w:w="1074" w:type="dxa"/>
            <w:vMerge w:val="continue"/>
            <w:noWrap w:val="0"/>
            <w:vAlign w:val="center"/>
          </w:tcPr>
          <w:p w14:paraId="65CE8162">
            <w:pPr>
              <w:jc w:val="center"/>
              <w:rPr>
                <w:color w:val="auto"/>
                <w:highlight w:val="none"/>
              </w:rPr>
            </w:pPr>
          </w:p>
        </w:tc>
        <w:tc>
          <w:tcPr>
            <w:tcW w:w="1965" w:type="dxa"/>
            <w:noWrap w:val="0"/>
            <w:vAlign w:val="center"/>
          </w:tcPr>
          <w:p w14:paraId="39645642">
            <w:pPr>
              <w:widowControl/>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人员配备</w:t>
            </w:r>
          </w:p>
          <w:p w14:paraId="64F08974">
            <w:pPr>
              <w:widowControl/>
              <w:spacing w:line="300" w:lineRule="exact"/>
              <w:jc w:val="center"/>
              <w:rPr>
                <w:rFonts w:ascii="宋体" w:hAnsi="宋体" w:cs="宋体"/>
                <w:color w:val="auto"/>
                <w:highlight w:val="none"/>
                <w:lang w:eastAsia="en-US"/>
              </w:rPr>
            </w:pPr>
            <w:r>
              <w:rPr>
                <w:rFonts w:hint="eastAsia" w:ascii="宋体" w:hAnsi="宋体" w:cs="宋体"/>
                <w:color w:val="auto"/>
                <w:highlight w:val="none"/>
              </w:rPr>
              <w:t>（</w:t>
            </w:r>
            <w:r>
              <w:rPr>
                <w:rFonts w:hint="eastAsia" w:ascii="宋体" w:hAnsi="宋体" w:cs="宋体"/>
                <w:color w:val="auto"/>
                <w:highlight w:val="none"/>
                <w:lang w:val="en-US" w:eastAsia="zh-CN"/>
              </w:rPr>
              <w:t>6</w:t>
            </w:r>
            <w:r>
              <w:rPr>
                <w:rFonts w:hint="eastAsia" w:ascii="宋体" w:hAnsi="宋体" w:cs="宋体"/>
                <w:color w:val="auto"/>
                <w:highlight w:val="none"/>
              </w:rPr>
              <w:t>分）</w:t>
            </w:r>
          </w:p>
        </w:tc>
        <w:tc>
          <w:tcPr>
            <w:tcW w:w="5899" w:type="dxa"/>
            <w:gridSpan w:val="2"/>
            <w:noWrap w:val="0"/>
            <w:vAlign w:val="center"/>
          </w:tcPr>
          <w:p w14:paraId="64394F86">
            <w:pPr>
              <w:jc w:val="left"/>
              <w:rPr>
                <w:rFonts w:hint="eastAsia"/>
                <w:color w:val="auto"/>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拟派</w:t>
            </w:r>
            <w:r>
              <w:rPr>
                <w:rFonts w:hint="eastAsia"/>
                <w:color w:val="auto"/>
                <w:highlight w:val="none"/>
              </w:rPr>
              <w:t>项目负责人具有工程类</w:t>
            </w:r>
            <w:r>
              <w:rPr>
                <w:rFonts w:hint="eastAsia"/>
                <w:color w:val="auto"/>
                <w:highlight w:val="none"/>
                <w:lang w:val="en-US" w:eastAsia="zh-CN"/>
              </w:rPr>
              <w:t>高</w:t>
            </w:r>
            <w:r>
              <w:rPr>
                <w:rFonts w:hint="eastAsia"/>
                <w:color w:val="auto"/>
                <w:highlight w:val="none"/>
              </w:rPr>
              <w:t>级及以上职称得</w:t>
            </w:r>
            <w:r>
              <w:rPr>
                <w:rFonts w:hint="eastAsia"/>
                <w:color w:val="auto"/>
                <w:highlight w:val="none"/>
                <w:lang w:val="en-US" w:eastAsia="zh-CN"/>
              </w:rPr>
              <w:t>3</w:t>
            </w:r>
            <w:r>
              <w:rPr>
                <w:rFonts w:hint="eastAsia"/>
                <w:color w:val="auto"/>
                <w:highlight w:val="none"/>
              </w:rPr>
              <w:t>分</w:t>
            </w:r>
            <w:r>
              <w:rPr>
                <w:rFonts w:hint="eastAsia"/>
                <w:color w:val="auto"/>
                <w:highlight w:val="none"/>
                <w:lang w:eastAsia="zh-CN"/>
              </w:rPr>
              <w:t>，</w:t>
            </w:r>
            <w:r>
              <w:rPr>
                <w:rFonts w:hint="eastAsia"/>
                <w:color w:val="auto"/>
                <w:highlight w:val="none"/>
                <w:lang w:val="en-US" w:eastAsia="zh-CN"/>
              </w:rPr>
              <w:t>具备工程类中级职称得2分，具备工程类初级职称得1分，不重复计分，最高得3分</w:t>
            </w:r>
            <w:r>
              <w:rPr>
                <w:rFonts w:hint="eastAsia"/>
                <w:color w:val="auto"/>
                <w:highlight w:val="none"/>
              </w:rPr>
              <w:t>。</w:t>
            </w:r>
          </w:p>
          <w:p w14:paraId="77193039">
            <w:pPr>
              <w:jc w:val="left"/>
              <w:rPr>
                <w:rFonts w:hint="eastAsia"/>
                <w:color w:val="auto"/>
                <w:highlight w:val="none"/>
              </w:rPr>
            </w:pPr>
            <w:r>
              <w:rPr>
                <w:rFonts w:hint="eastAsia"/>
                <w:color w:val="auto"/>
                <w:highlight w:val="none"/>
                <w:lang w:val="en-US" w:eastAsia="zh-CN"/>
              </w:rPr>
              <w:t>2、</w:t>
            </w:r>
            <w:r>
              <w:rPr>
                <w:rFonts w:hint="eastAsia"/>
                <w:color w:val="auto"/>
                <w:highlight w:val="none"/>
              </w:rPr>
              <w:t>拟派项目技术负责人具有工程类</w:t>
            </w:r>
            <w:r>
              <w:rPr>
                <w:rFonts w:hint="eastAsia"/>
                <w:color w:val="auto"/>
                <w:highlight w:val="none"/>
                <w:lang w:val="en-US" w:eastAsia="zh-CN"/>
              </w:rPr>
              <w:t>高</w:t>
            </w:r>
            <w:r>
              <w:rPr>
                <w:rFonts w:hint="eastAsia"/>
                <w:color w:val="auto"/>
                <w:highlight w:val="none"/>
              </w:rPr>
              <w:t>级及以上职称得</w:t>
            </w:r>
            <w:r>
              <w:rPr>
                <w:rFonts w:hint="eastAsia"/>
                <w:color w:val="auto"/>
                <w:highlight w:val="none"/>
                <w:lang w:val="en-US" w:eastAsia="zh-CN"/>
              </w:rPr>
              <w:t>3</w:t>
            </w:r>
            <w:r>
              <w:rPr>
                <w:rFonts w:hint="eastAsia"/>
                <w:color w:val="auto"/>
                <w:highlight w:val="none"/>
              </w:rPr>
              <w:t>分</w:t>
            </w:r>
            <w:r>
              <w:rPr>
                <w:rFonts w:hint="eastAsia"/>
                <w:color w:val="auto"/>
                <w:highlight w:val="none"/>
                <w:lang w:eastAsia="zh-CN"/>
              </w:rPr>
              <w:t>，</w:t>
            </w:r>
            <w:r>
              <w:rPr>
                <w:rFonts w:hint="eastAsia"/>
                <w:color w:val="auto"/>
                <w:highlight w:val="none"/>
                <w:lang w:val="en-US" w:eastAsia="zh-CN"/>
              </w:rPr>
              <w:t>具备工程类中级职称得2分，具备工程类初级职称得1分，不重复计分，最高得3分</w:t>
            </w:r>
            <w:r>
              <w:rPr>
                <w:rFonts w:hint="eastAsia"/>
                <w:color w:val="auto"/>
                <w:highlight w:val="none"/>
              </w:rPr>
              <w:t>。</w:t>
            </w:r>
          </w:p>
          <w:p w14:paraId="2D00E85F">
            <w:pPr>
              <w:jc w:val="left"/>
              <w:rPr>
                <w:rFonts w:ascii="宋体" w:hAnsi="宋体" w:cs="宋体"/>
                <w:color w:val="auto"/>
                <w:highlight w:val="none"/>
              </w:rPr>
            </w:pPr>
            <w:r>
              <w:rPr>
                <w:rFonts w:hint="eastAsia"/>
                <w:b/>
                <w:bCs/>
                <w:color w:val="auto"/>
                <w:highlight w:val="none"/>
              </w:rPr>
              <w:t>注：项目成员不得兼任，提供</w:t>
            </w:r>
            <w:r>
              <w:rPr>
                <w:rFonts w:hint="eastAsia"/>
                <w:b/>
                <w:bCs/>
                <w:color w:val="auto"/>
                <w:highlight w:val="none"/>
                <w:lang w:val="en-US" w:eastAsia="zh-CN"/>
              </w:rPr>
              <w:t>相关</w:t>
            </w:r>
            <w:r>
              <w:rPr>
                <w:rFonts w:hint="eastAsia"/>
                <w:b/>
                <w:bCs/>
                <w:color w:val="auto"/>
                <w:highlight w:val="none"/>
              </w:rPr>
              <w:t>证书及供应商为上述人员缴纳的养老保险证明（要求同公告中项目负责人的养老保险要求）复印件，否则不得分。</w:t>
            </w:r>
          </w:p>
        </w:tc>
      </w:tr>
      <w:tr w14:paraId="25329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80" w:hRule="atLeast"/>
          <w:jc w:val="center"/>
        </w:trPr>
        <w:tc>
          <w:tcPr>
            <w:tcW w:w="457" w:type="dxa"/>
            <w:vMerge w:val="continue"/>
            <w:noWrap w:val="0"/>
            <w:vAlign w:val="center"/>
          </w:tcPr>
          <w:p w14:paraId="75B887FC">
            <w:pPr>
              <w:rPr>
                <w:rFonts w:ascii="宋体" w:hAnsi="宋体" w:cs="宋体"/>
                <w:color w:val="auto"/>
                <w:highlight w:val="none"/>
              </w:rPr>
            </w:pPr>
          </w:p>
        </w:tc>
        <w:tc>
          <w:tcPr>
            <w:tcW w:w="1074" w:type="dxa"/>
            <w:vMerge w:val="continue"/>
            <w:noWrap w:val="0"/>
            <w:vAlign w:val="center"/>
          </w:tcPr>
          <w:p w14:paraId="45870B7E">
            <w:pPr>
              <w:jc w:val="center"/>
              <w:rPr>
                <w:color w:val="auto"/>
                <w:highlight w:val="none"/>
              </w:rPr>
            </w:pPr>
          </w:p>
        </w:tc>
        <w:tc>
          <w:tcPr>
            <w:tcW w:w="1965" w:type="dxa"/>
            <w:noWrap w:val="0"/>
            <w:vAlign w:val="center"/>
          </w:tcPr>
          <w:p w14:paraId="6A1F8EBE">
            <w:pPr>
              <w:widowControl/>
              <w:spacing w:line="300" w:lineRule="exact"/>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类似业绩</w:t>
            </w:r>
          </w:p>
          <w:p w14:paraId="6606124A">
            <w:pPr>
              <w:widowControl/>
              <w:spacing w:line="300" w:lineRule="exact"/>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（6分）</w:t>
            </w:r>
          </w:p>
        </w:tc>
        <w:tc>
          <w:tcPr>
            <w:tcW w:w="5899" w:type="dxa"/>
            <w:gridSpan w:val="2"/>
            <w:noWrap w:val="0"/>
            <w:vAlign w:val="center"/>
          </w:tcPr>
          <w:p w14:paraId="066E5D26">
            <w:pPr>
              <w:jc w:val="left"/>
              <w:rPr>
                <w:rFonts w:hint="eastAsia"/>
                <w:color w:val="auto"/>
                <w:highlight w:val="none"/>
                <w:lang w:val="en-US" w:eastAsia="zh-CN"/>
              </w:rPr>
            </w:pPr>
            <w:r>
              <w:rPr>
                <w:rFonts w:hint="eastAsia"/>
                <w:color w:val="auto"/>
                <w:highlight w:val="none"/>
                <w:lang w:val="en-US" w:eastAsia="zh-CN"/>
              </w:rPr>
              <w:t>供应商承担过类似市政工程施工业绩的，有一个得2分，本小项最高得6分。</w:t>
            </w:r>
            <w:r>
              <w:rPr>
                <w:rFonts w:hint="eastAsia"/>
                <w:color w:val="auto"/>
                <w:highlight w:val="none"/>
                <w:lang w:val="en-US" w:eastAsia="zh-CN"/>
              </w:rPr>
              <w:br w:type="textWrapping"/>
            </w:r>
            <w:r>
              <w:rPr>
                <w:rFonts w:hint="eastAsia"/>
                <w:color w:val="auto"/>
                <w:highlight w:val="none"/>
                <w:lang w:val="en-US" w:eastAsia="zh-CN"/>
              </w:rPr>
              <w:t xml:space="preserve">（1）业绩有效期自2022年1月1日起至响应截止之日止。时间以交（竣）工验收合格时间为准。 </w:t>
            </w:r>
          </w:p>
          <w:p w14:paraId="135A1C3E">
            <w:pPr>
              <w:jc w:val="left"/>
              <w:rPr>
                <w:rFonts w:hint="eastAsia"/>
                <w:b/>
                <w:bCs/>
                <w:color w:val="auto"/>
                <w:highlight w:val="none"/>
              </w:rPr>
            </w:pPr>
            <w:r>
              <w:rPr>
                <w:rFonts w:hint="eastAsia"/>
                <w:color w:val="auto"/>
                <w:highlight w:val="none"/>
                <w:lang w:val="en-US" w:eastAsia="zh-CN"/>
              </w:rPr>
              <w:t>（2）业绩证明材料：中标（成交）通知书（直接发包通知书）、合同协议书，以及竣（完）工验收证明资料（或其他证明项目完成的佐证资料）。以上材料缺一不可，否则不予认可。</w:t>
            </w:r>
            <w:r>
              <w:rPr>
                <w:rStyle w:val="640"/>
                <w:lang w:val="en-US" w:eastAsia="zh-CN" w:bidi="ar"/>
              </w:rPr>
              <w:t>提供上述所有证明材料的原件扫描件上传系统加盖电子签章，否则不得分。</w:t>
            </w:r>
          </w:p>
        </w:tc>
      </w:tr>
      <w:tr w14:paraId="2FBEE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07" w:hRule="atLeast"/>
          <w:jc w:val="center"/>
        </w:trPr>
        <w:tc>
          <w:tcPr>
            <w:tcW w:w="457" w:type="dxa"/>
            <w:vMerge w:val="restart"/>
            <w:noWrap w:val="0"/>
            <w:vAlign w:val="center"/>
          </w:tcPr>
          <w:p w14:paraId="1B6C9898">
            <w:pPr>
              <w:jc w:val="center"/>
              <w:rPr>
                <w:color w:val="auto"/>
                <w:highlight w:val="none"/>
                <w:lang w:eastAsia="en-US"/>
              </w:rPr>
            </w:pPr>
            <w:r>
              <w:rPr>
                <w:rFonts w:hint="eastAsia"/>
                <w:color w:val="auto"/>
                <w:highlight w:val="none"/>
                <w:lang w:eastAsia="en-US"/>
              </w:rPr>
              <w:t>3</w:t>
            </w:r>
          </w:p>
        </w:tc>
        <w:tc>
          <w:tcPr>
            <w:tcW w:w="1074" w:type="dxa"/>
            <w:vMerge w:val="restart"/>
            <w:noWrap w:val="0"/>
            <w:vAlign w:val="center"/>
          </w:tcPr>
          <w:p w14:paraId="363F3102">
            <w:pPr>
              <w:jc w:val="center"/>
              <w:rPr>
                <w:color w:val="auto"/>
                <w:highlight w:val="none"/>
                <w:lang w:eastAsia="en-US"/>
              </w:rPr>
            </w:pPr>
          </w:p>
          <w:p w14:paraId="366321AD">
            <w:pPr>
              <w:jc w:val="center"/>
              <w:rPr>
                <w:color w:val="auto"/>
                <w:highlight w:val="none"/>
                <w:lang w:eastAsia="en-US"/>
              </w:rPr>
            </w:pPr>
          </w:p>
          <w:p w14:paraId="6F58455A">
            <w:pPr>
              <w:jc w:val="center"/>
              <w:rPr>
                <w:color w:val="auto"/>
                <w:highlight w:val="none"/>
                <w:lang w:eastAsia="en-US"/>
              </w:rPr>
            </w:pPr>
          </w:p>
          <w:p w14:paraId="2746747A">
            <w:pPr>
              <w:jc w:val="center"/>
              <w:rPr>
                <w:color w:val="auto"/>
                <w:highlight w:val="none"/>
                <w:lang w:eastAsia="en-US"/>
              </w:rPr>
            </w:pPr>
          </w:p>
          <w:p w14:paraId="63A94BB8">
            <w:pPr>
              <w:jc w:val="center"/>
              <w:rPr>
                <w:color w:val="auto"/>
                <w:highlight w:val="none"/>
                <w:lang w:eastAsia="en-US"/>
              </w:rPr>
            </w:pPr>
            <w:r>
              <w:rPr>
                <w:rFonts w:hint="eastAsia"/>
                <w:color w:val="auto"/>
                <w:highlight w:val="none"/>
                <w:lang w:eastAsia="en-US"/>
              </w:rPr>
              <w:t>技术</w:t>
            </w:r>
          </w:p>
          <w:p w14:paraId="016AF94F">
            <w:pPr>
              <w:jc w:val="center"/>
              <w:rPr>
                <w:color w:val="auto"/>
                <w:highlight w:val="none"/>
              </w:rPr>
            </w:pPr>
            <w:r>
              <w:rPr>
                <w:rFonts w:hint="eastAsia"/>
                <w:color w:val="auto"/>
                <w:highlight w:val="none"/>
                <w:lang w:eastAsia="en-US"/>
              </w:rPr>
              <w:t>部分</w:t>
            </w:r>
          </w:p>
          <w:p w14:paraId="6DDA166B">
            <w:pPr>
              <w:jc w:val="center"/>
              <w:rPr>
                <w:color w:val="auto"/>
                <w:highlight w:val="none"/>
              </w:rPr>
            </w:pPr>
            <w:r>
              <w:rPr>
                <w:rFonts w:hint="eastAsia"/>
                <w:color w:val="auto"/>
                <w:highlight w:val="none"/>
              </w:rPr>
              <w:t>（</w:t>
            </w:r>
            <w:r>
              <w:rPr>
                <w:rFonts w:hint="eastAsia"/>
                <w:color w:val="auto"/>
                <w:highlight w:val="none"/>
                <w:lang w:val="en-US" w:eastAsia="zh-CN"/>
              </w:rPr>
              <w:t>35</w:t>
            </w:r>
            <w:r>
              <w:rPr>
                <w:rFonts w:hint="eastAsia"/>
                <w:color w:val="auto"/>
                <w:highlight w:val="none"/>
              </w:rPr>
              <w:t>分）</w:t>
            </w:r>
          </w:p>
        </w:tc>
        <w:tc>
          <w:tcPr>
            <w:tcW w:w="1965" w:type="dxa"/>
            <w:noWrap w:val="0"/>
            <w:vAlign w:val="center"/>
          </w:tcPr>
          <w:p w14:paraId="131FB59F">
            <w:pPr>
              <w:jc w:val="center"/>
              <w:rPr>
                <w:color w:val="auto"/>
                <w:highlight w:val="none"/>
              </w:rPr>
            </w:pPr>
            <w:r>
              <w:rPr>
                <w:rFonts w:hint="eastAsia"/>
                <w:color w:val="auto"/>
                <w:highlight w:val="none"/>
              </w:rPr>
              <w:t>工程概述、总体安排、及施工部署等</w:t>
            </w:r>
          </w:p>
          <w:p w14:paraId="56E08CD7">
            <w:pPr>
              <w:jc w:val="center"/>
              <w:rPr>
                <w:color w:val="auto"/>
                <w:highlight w:val="none"/>
              </w:rPr>
            </w:pPr>
            <w:r>
              <w:rPr>
                <w:rFonts w:hint="eastAsia"/>
                <w:color w:val="auto"/>
                <w:highlight w:val="none"/>
              </w:rPr>
              <w:t>（5分）</w:t>
            </w:r>
          </w:p>
        </w:tc>
        <w:tc>
          <w:tcPr>
            <w:tcW w:w="5899" w:type="dxa"/>
            <w:gridSpan w:val="2"/>
            <w:noWrap w:val="0"/>
            <w:vAlign w:val="center"/>
          </w:tcPr>
          <w:p w14:paraId="735A3EA1">
            <w:pPr>
              <w:rPr>
                <w:color w:val="auto"/>
                <w:highlight w:val="none"/>
              </w:rPr>
            </w:pPr>
            <w:r>
              <w:rPr>
                <w:rFonts w:hint="eastAsia"/>
                <w:color w:val="auto"/>
                <w:highlight w:val="none"/>
              </w:rPr>
              <w:t>根据供应商提供的本工程的工程概述、总体安排、及施工部署等内容进行评分：细致全面、合理、完全响应需求，技术可行性强得5分；较为完整、基本响应需求的得3分；不完整、响应度低、技术可行性低得1分；不提供不得分。</w:t>
            </w:r>
          </w:p>
        </w:tc>
      </w:tr>
      <w:tr w14:paraId="381BEF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20" w:hRule="atLeast"/>
          <w:jc w:val="center"/>
        </w:trPr>
        <w:tc>
          <w:tcPr>
            <w:tcW w:w="457" w:type="dxa"/>
            <w:vMerge w:val="continue"/>
            <w:noWrap w:val="0"/>
            <w:vAlign w:val="center"/>
          </w:tcPr>
          <w:p w14:paraId="435AB939">
            <w:pPr>
              <w:jc w:val="center"/>
              <w:rPr>
                <w:color w:val="auto"/>
                <w:highlight w:val="none"/>
              </w:rPr>
            </w:pPr>
          </w:p>
        </w:tc>
        <w:tc>
          <w:tcPr>
            <w:tcW w:w="1074" w:type="dxa"/>
            <w:vMerge w:val="continue"/>
            <w:noWrap w:val="0"/>
            <w:vAlign w:val="center"/>
          </w:tcPr>
          <w:p w14:paraId="073CABF0">
            <w:pPr>
              <w:jc w:val="center"/>
              <w:rPr>
                <w:color w:val="auto"/>
                <w:highlight w:val="none"/>
              </w:rPr>
            </w:pPr>
          </w:p>
        </w:tc>
        <w:tc>
          <w:tcPr>
            <w:tcW w:w="1965" w:type="dxa"/>
            <w:noWrap w:val="0"/>
            <w:vAlign w:val="center"/>
          </w:tcPr>
          <w:p w14:paraId="2D5A6F9B">
            <w:pPr>
              <w:jc w:val="center"/>
              <w:rPr>
                <w:color w:val="auto"/>
                <w:highlight w:val="none"/>
              </w:rPr>
            </w:pPr>
            <w:r>
              <w:rPr>
                <w:rFonts w:hint="eastAsia"/>
                <w:color w:val="auto"/>
                <w:highlight w:val="none"/>
              </w:rPr>
              <w:t>关于本工程施工进度计划的描述，以及为完成该计划所定措施</w:t>
            </w:r>
          </w:p>
          <w:p w14:paraId="0BA7574C">
            <w:pPr>
              <w:jc w:val="center"/>
              <w:rPr>
                <w:color w:val="auto"/>
                <w:highlight w:val="none"/>
              </w:rPr>
            </w:pPr>
            <w:r>
              <w:rPr>
                <w:rFonts w:hint="eastAsia"/>
                <w:color w:val="auto"/>
                <w:highlight w:val="none"/>
              </w:rPr>
              <w:t>（</w:t>
            </w:r>
            <w:r>
              <w:rPr>
                <w:rFonts w:hint="eastAsia"/>
                <w:color w:val="auto"/>
                <w:highlight w:val="none"/>
                <w:lang w:val="en-US" w:eastAsia="zh-CN"/>
              </w:rPr>
              <w:t>5</w:t>
            </w:r>
            <w:r>
              <w:rPr>
                <w:rFonts w:hint="eastAsia"/>
                <w:color w:val="auto"/>
                <w:highlight w:val="none"/>
              </w:rPr>
              <w:t>分）</w:t>
            </w:r>
          </w:p>
        </w:tc>
        <w:tc>
          <w:tcPr>
            <w:tcW w:w="5899" w:type="dxa"/>
            <w:gridSpan w:val="2"/>
            <w:noWrap w:val="0"/>
            <w:vAlign w:val="center"/>
          </w:tcPr>
          <w:p w14:paraId="00B36307">
            <w:pPr>
              <w:rPr>
                <w:color w:val="auto"/>
                <w:highlight w:val="none"/>
              </w:rPr>
            </w:pPr>
            <w:bookmarkStart w:id="458" w:name="_Hlk194502702"/>
            <w:bookmarkStart w:id="459" w:name="OLE_LINK77"/>
            <w:r>
              <w:rPr>
                <w:rFonts w:hint="eastAsia" w:ascii="宋体" w:hAnsi="宋体" w:cs="宋体"/>
                <w:color w:val="auto"/>
                <w:sz w:val="24"/>
                <w:highlight w:val="none"/>
              </w:rPr>
              <w:t>根据本工程施工进度计划的描述，以及为完成该计划所定措施等内容进行评分：细致全面、合理、完全响应需求，技术可行性强得</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分；较为完整、基本响应需求的得</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分；不完全、响应度低、技术可行性低得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分；不提供不得分。</w:t>
            </w:r>
            <w:bookmarkEnd w:id="458"/>
            <w:bookmarkEnd w:id="459"/>
          </w:p>
        </w:tc>
      </w:tr>
      <w:tr w14:paraId="67F83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457" w:type="dxa"/>
            <w:vMerge w:val="continue"/>
            <w:noWrap w:val="0"/>
            <w:vAlign w:val="center"/>
          </w:tcPr>
          <w:p w14:paraId="3F5E5AAA">
            <w:pPr>
              <w:jc w:val="center"/>
              <w:rPr>
                <w:color w:val="auto"/>
                <w:highlight w:val="none"/>
              </w:rPr>
            </w:pPr>
            <w:bookmarkStart w:id="460" w:name="OLE_LINK14"/>
            <w:bookmarkStart w:id="461" w:name="_Hlk184665934"/>
            <w:bookmarkStart w:id="462" w:name="OLE_LINK13"/>
          </w:p>
          <w:bookmarkEnd w:id="460"/>
          <w:bookmarkEnd w:id="461"/>
          <w:bookmarkEnd w:id="462"/>
        </w:tc>
        <w:tc>
          <w:tcPr>
            <w:tcW w:w="1074" w:type="dxa"/>
            <w:vMerge w:val="continue"/>
            <w:noWrap w:val="0"/>
            <w:vAlign w:val="center"/>
          </w:tcPr>
          <w:p w14:paraId="592A9644">
            <w:pPr>
              <w:jc w:val="center"/>
              <w:rPr>
                <w:color w:val="auto"/>
                <w:highlight w:val="none"/>
              </w:rPr>
            </w:pPr>
          </w:p>
        </w:tc>
        <w:tc>
          <w:tcPr>
            <w:tcW w:w="1965" w:type="dxa"/>
            <w:noWrap w:val="0"/>
            <w:vAlign w:val="center"/>
          </w:tcPr>
          <w:p w14:paraId="12C4BA4F">
            <w:pPr>
              <w:jc w:val="center"/>
              <w:rPr>
                <w:rFonts w:ascii="宋体" w:hAnsi="宋体" w:cs="宋体"/>
                <w:color w:val="auto"/>
                <w:spacing w:val="-6"/>
                <w:highlight w:val="none"/>
              </w:rPr>
            </w:pPr>
            <w:r>
              <w:rPr>
                <w:rFonts w:hint="eastAsia" w:ascii="宋体" w:hAnsi="宋体" w:cs="宋体"/>
                <w:color w:val="auto"/>
                <w:spacing w:val="-6"/>
                <w:highlight w:val="none"/>
              </w:rPr>
              <w:t>工程分部分项工程的施工方案、关键施工技术、工艺及工程项目实施的重点、难点和解决方案、具体施工技术措施</w:t>
            </w:r>
          </w:p>
          <w:p w14:paraId="3F98E2A5">
            <w:pPr>
              <w:jc w:val="center"/>
              <w:rPr>
                <w:color w:val="auto"/>
                <w:highlight w:val="none"/>
              </w:rPr>
            </w:pPr>
            <w:r>
              <w:rPr>
                <w:rFonts w:hint="eastAsia"/>
                <w:color w:val="auto"/>
                <w:highlight w:val="none"/>
              </w:rPr>
              <w:t>（</w:t>
            </w:r>
            <w:r>
              <w:rPr>
                <w:rFonts w:hint="eastAsia"/>
                <w:color w:val="auto"/>
                <w:highlight w:val="none"/>
                <w:lang w:val="en-US" w:eastAsia="zh-CN"/>
              </w:rPr>
              <w:t>1</w:t>
            </w:r>
            <w:r>
              <w:rPr>
                <w:rFonts w:hint="eastAsia"/>
                <w:color w:val="auto"/>
                <w:highlight w:val="none"/>
              </w:rPr>
              <w:t>0分）</w:t>
            </w:r>
          </w:p>
        </w:tc>
        <w:tc>
          <w:tcPr>
            <w:tcW w:w="5899" w:type="dxa"/>
            <w:gridSpan w:val="2"/>
            <w:noWrap w:val="0"/>
            <w:vAlign w:val="center"/>
          </w:tcPr>
          <w:p w14:paraId="7C50F1AF">
            <w:pPr>
              <w:rPr>
                <w:color w:val="auto"/>
                <w:highlight w:val="none"/>
              </w:rPr>
            </w:pPr>
            <w:r>
              <w:rPr>
                <w:rFonts w:hint="eastAsia" w:ascii="宋体" w:hAnsi="宋体" w:cs="宋体"/>
                <w:color w:val="auto"/>
                <w:highlight w:val="none"/>
              </w:rPr>
              <w:t>根据供应商提供的本工程的施工方案、关键施工技术、工艺及工程项目实施的重点、难点和解决方案、具体施工技术措施等内容进行评分：细致全面、合理、完全响应需求，技术可行性强得</w:t>
            </w:r>
            <w:r>
              <w:rPr>
                <w:rFonts w:hint="eastAsia" w:ascii="宋体" w:hAnsi="宋体" w:cs="宋体"/>
                <w:color w:val="auto"/>
                <w:highlight w:val="none"/>
                <w:lang w:val="en-US" w:eastAsia="zh-CN"/>
              </w:rPr>
              <w:t>10</w:t>
            </w:r>
            <w:r>
              <w:rPr>
                <w:rFonts w:hint="eastAsia" w:ascii="宋体" w:hAnsi="宋体" w:cs="宋体"/>
                <w:color w:val="auto"/>
                <w:highlight w:val="none"/>
              </w:rPr>
              <w:t>分；较为全面、能响应需求，技术可行性较强得</w:t>
            </w:r>
            <w:r>
              <w:rPr>
                <w:rFonts w:hint="eastAsia" w:ascii="宋体" w:hAnsi="宋体" w:cs="宋体"/>
                <w:color w:val="auto"/>
                <w:highlight w:val="none"/>
                <w:lang w:val="en-US" w:eastAsia="zh-CN"/>
              </w:rPr>
              <w:t>7</w:t>
            </w:r>
            <w:r>
              <w:rPr>
                <w:rFonts w:hint="eastAsia" w:ascii="宋体" w:hAnsi="宋体" w:cs="宋体"/>
                <w:color w:val="auto"/>
                <w:highlight w:val="none"/>
              </w:rPr>
              <w:t>分；基本完整、基本响应需求的得</w:t>
            </w:r>
            <w:r>
              <w:rPr>
                <w:rFonts w:hint="eastAsia" w:ascii="宋体" w:hAnsi="宋体" w:cs="宋体"/>
                <w:color w:val="auto"/>
                <w:highlight w:val="none"/>
                <w:lang w:val="en-US" w:eastAsia="zh-CN"/>
              </w:rPr>
              <w:t>4</w:t>
            </w:r>
            <w:r>
              <w:rPr>
                <w:rFonts w:hint="eastAsia" w:ascii="宋体" w:hAnsi="宋体" w:cs="宋体"/>
                <w:color w:val="auto"/>
                <w:highlight w:val="none"/>
              </w:rPr>
              <w:t>分；不完整、响应度低、技术可行性低得</w:t>
            </w:r>
            <w:r>
              <w:rPr>
                <w:rFonts w:hint="eastAsia" w:ascii="宋体" w:hAnsi="宋体" w:cs="宋体"/>
                <w:color w:val="auto"/>
                <w:highlight w:val="none"/>
                <w:lang w:val="en-US" w:eastAsia="zh-CN"/>
              </w:rPr>
              <w:t>1</w:t>
            </w:r>
            <w:r>
              <w:rPr>
                <w:rFonts w:hint="eastAsia" w:ascii="宋体" w:hAnsi="宋体" w:cs="宋体"/>
                <w:color w:val="auto"/>
                <w:highlight w:val="none"/>
              </w:rPr>
              <w:t>分；不提供不得分</w:t>
            </w:r>
            <w:r>
              <w:rPr>
                <w:rFonts w:hint="eastAsia"/>
                <w:color w:val="auto"/>
                <w:highlight w:val="none"/>
              </w:rPr>
              <w:t>。</w:t>
            </w:r>
          </w:p>
        </w:tc>
      </w:tr>
      <w:tr w14:paraId="737B6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67" w:hRule="atLeast"/>
          <w:jc w:val="center"/>
        </w:trPr>
        <w:tc>
          <w:tcPr>
            <w:tcW w:w="457" w:type="dxa"/>
            <w:vMerge w:val="continue"/>
            <w:noWrap w:val="0"/>
            <w:vAlign w:val="center"/>
          </w:tcPr>
          <w:p w14:paraId="16A91887">
            <w:pPr>
              <w:jc w:val="center"/>
              <w:rPr>
                <w:color w:val="auto"/>
                <w:highlight w:val="none"/>
              </w:rPr>
            </w:pPr>
          </w:p>
        </w:tc>
        <w:tc>
          <w:tcPr>
            <w:tcW w:w="1074" w:type="dxa"/>
            <w:vMerge w:val="continue"/>
            <w:noWrap w:val="0"/>
            <w:vAlign w:val="center"/>
          </w:tcPr>
          <w:p w14:paraId="0A9140D7">
            <w:pPr>
              <w:jc w:val="center"/>
              <w:rPr>
                <w:color w:val="auto"/>
                <w:highlight w:val="none"/>
              </w:rPr>
            </w:pPr>
          </w:p>
        </w:tc>
        <w:tc>
          <w:tcPr>
            <w:tcW w:w="1965" w:type="dxa"/>
            <w:noWrap w:val="0"/>
            <w:vAlign w:val="center"/>
          </w:tcPr>
          <w:p w14:paraId="0535EA30">
            <w:pPr>
              <w:jc w:val="center"/>
              <w:rPr>
                <w:rFonts w:hint="eastAsia" w:eastAsia="宋体"/>
                <w:color w:val="auto"/>
                <w:highlight w:val="none"/>
                <w:lang w:eastAsia="zh-CN"/>
              </w:rPr>
            </w:pPr>
            <w:bookmarkStart w:id="463" w:name="OLE_LINK80"/>
            <w:bookmarkStart w:id="464" w:name="OLE_LINK79"/>
            <w:r>
              <w:rPr>
                <w:rFonts w:hint="eastAsia" w:ascii="宋体" w:hAnsi="宋体" w:cs="宋体"/>
                <w:color w:val="auto"/>
                <w:spacing w:val="-6"/>
                <w:sz w:val="24"/>
                <w:highlight w:val="none"/>
              </w:rPr>
              <w:t>安全文明施工、施工现场扬尘污染防治措施及环境保护方面的措施</w:t>
            </w:r>
            <w:bookmarkEnd w:id="463"/>
            <w:bookmarkEnd w:id="464"/>
            <w:r>
              <w:rPr>
                <w:rFonts w:hint="eastAsia" w:ascii="宋体" w:hAnsi="宋体" w:cs="宋体"/>
                <w:color w:val="auto"/>
                <w:spacing w:val="-6"/>
                <w:sz w:val="24"/>
                <w:highlight w:val="none"/>
                <w:lang w:eastAsia="zh-CN"/>
              </w:rPr>
              <w:t>（</w:t>
            </w:r>
            <w:r>
              <w:rPr>
                <w:rFonts w:hint="eastAsia" w:ascii="宋体" w:hAnsi="宋体" w:cs="宋体"/>
                <w:color w:val="auto"/>
                <w:spacing w:val="-6"/>
                <w:sz w:val="24"/>
                <w:highlight w:val="none"/>
                <w:lang w:val="en-US" w:eastAsia="zh-CN"/>
              </w:rPr>
              <w:t>5</w:t>
            </w:r>
            <w:r>
              <w:rPr>
                <w:rFonts w:hint="eastAsia" w:ascii="宋体" w:hAnsi="宋体" w:cs="宋体"/>
                <w:color w:val="auto"/>
                <w:spacing w:val="-6"/>
                <w:sz w:val="24"/>
                <w:highlight w:val="none"/>
                <w:lang w:eastAsia="zh-CN"/>
              </w:rPr>
              <w:t>）</w:t>
            </w:r>
          </w:p>
        </w:tc>
        <w:tc>
          <w:tcPr>
            <w:tcW w:w="5899" w:type="dxa"/>
            <w:gridSpan w:val="2"/>
            <w:noWrap w:val="0"/>
            <w:vAlign w:val="center"/>
          </w:tcPr>
          <w:p w14:paraId="38B529DF">
            <w:pPr>
              <w:rPr>
                <w:rFonts w:hint="eastAsia" w:ascii="宋体" w:hAnsi="宋体" w:cs="宋体"/>
                <w:color w:val="auto"/>
                <w:highlight w:val="none"/>
              </w:rPr>
            </w:pPr>
            <w:r>
              <w:rPr>
                <w:rFonts w:hint="eastAsia" w:ascii="宋体" w:hAnsi="宋体" w:cs="宋体"/>
                <w:color w:val="auto"/>
                <w:sz w:val="24"/>
                <w:highlight w:val="none"/>
              </w:rPr>
              <w:t>根据投标人提供的本工程的安全文明施工、施工现场扬尘污染防治措施及环境保护方面的措施进行评分：细致全面、合理、完全响应需求，技术可行性强得</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分；较为完整、基本响应需求的得</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分；不完全、响应度低、技术可行性低得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分；不提供不得分。</w:t>
            </w:r>
          </w:p>
        </w:tc>
      </w:tr>
      <w:tr w14:paraId="54BCE5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46" w:hRule="atLeast"/>
          <w:jc w:val="center"/>
        </w:trPr>
        <w:tc>
          <w:tcPr>
            <w:tcW w:w="457" w:type="dxa"/>
            <w:vMerge w:val="continue"/>
            <w:noWrap w:val="0"/>
            <w:vAlign w:val="center"/>
          </w:tcPr>
          <w:p w14:paraId="253AC746">
            <w:pPr>
              <w:jc w:val="center"/>
              <w:rPr>
                <w:color w:val="auto"/>
                <w:highlight w:val="none"/>
              </w:rPr>
            </w:pPr>
          </w:p>
        </w:tc>
        <w:tc>
          <w:tcPr>
            <w:tcW w:w="1074" w:type="dxa"/>
            <w:vMerge w:val="continue"/>
            <w:noWrap w:val="0"/>
            <w:vAlign w:val="center"/>
          </w:tcPr>
          <w:p w14:paraId="6A772793">
            <w:pPr>
              <w:jc w:val="center"/>
              <w:rPr>
                <w:color w:val="auto"/>
                <w:highlight w:val="none"/>
              </w:rPr>
            </w:pPr>
          </w:p>
        </w:tc>
        <w:tc>
          <w:tcPr>
            <w:tcW w:w="1965" w:type="dxa"/>
            <w:shd w:val="clear" w:color="auto" w:fill="auto"/>
            <w:noWrap w:val="0"/>
            <w:vAlign w:val="center"/>
          </w:tcPr>
          <w:p w14:paraId="57B0B540">
            <w:pPr>
              <w:jc w:val="center"/>
              <w:rPr>
                <w:rFonts w:ascii="宋体" w:hAnsi="宋体" w:cs="宋体"/>
                <w:color w:val="auto"/>
                <w:highlight w:val="none"/>
              </w:rPr>
            </w:pPr>
            <w:r>
              <w:rPr>
                <w:rFonts w:hint="eastAsia" w:ascii="宋体" w:hAnsi="宋体" w:cs="宋体"/>
                <w:color w:val="auto"/>
                <w:highlight w:val="none"/>
              </w:rPr>
              <w:t>保证项目实施的技术设备和人力资源安排</w:t>
            </w:r>
          </w:p>
          <w:p w14:paraId="3F0C7180">
            <w:pPr>
              <w:jc w:val="center"/>
              <w:rPr>
                <w:rFonts w:hint="eastAsia" w:ascii="Times New Roman" w:hAnsi="Times New Roman" w:eastAsia="宋体" w:cs="Times New Roman"/>
                <w:color w:val="auto"/>
                <w:sz w:val="24"/>
                <w:szCs w:val="24"/>
                <w:highlight w:val="none"/>
                <w:lang w:val="en-US" w:eastAsia="en-US" w:bidi="ar-SA"/>
              </w:rPr>
            </w:pPr>
            <w:r>
              <w:rPr>
                <w:rFonts w:hint="eastAsia"/>
                <w:color w:val="auto"/>
                <w:highlight w:val="none"/>
              </w:rPr>
              <w:t>（</w:t>
            </w:r>
            <w:r>
              <w:rPr>
                <w:rFonts w:hint="eastAsia"/>
                <w:color w:val="auto"/>
                <w:highlight w:val="none"/>
                <w:lang w:val="en-US" w:eastAsia="zh-CN"/>
              </w:rPr>
              <w:t>5</w:t>
            </w:r>
            <w:r>
              <w:rPr>
                <w:rFonts w:hint="eastAsia"/>
                <w:color w:val="auto"/>
                <w:highlight w:val="none"/>
              </w:rPr>
              <w:t>分）</w:t>
            </w:r>
          </w:p>
        </w:tc>
        <w:tc>
          <w:tcPr>
            <w:tcW w:w="5899" w:type="dxa"/>
            <w:gridSpan w:val="2"/>
            <w:shd w:val="clear" w:color="auto" w:fill="auto"/>
            <w:noWrap w:val="0"/>
            <w:vAlign w:val="top"/>
          </w:tcPr>
          <w:p w14:paraId="1AF41F57">
            <w:pPr>
              <w:jc w:val="left"/>
              <w:rPr>
                <w:rFonts w:hint="eastAsia" w:ascii="Times New Roman" w:hAnsi="Times New Roman" w:eastAsia="宋体" w:cs="Times New Roman"/>
                <w:color w:val="auto"/>
                <w:sz w:val="24"/>
                <w:szCs w:val="24"/>
                <w:highlight w:val="none"/>
                <w:lang w:val="en-US" w:eastAsia="zh-CN" w:bidi="ar-SA"/>
              </w:rPr>
            </w:pPr>
            <w:r>
              <w:rPr>
                <w:rFonts w:hint="eastAsia"/>
                <w:color w:val="auto"/>
                <w:highlight w:val="none"/>
              </w:rPr>
              <w:t>根据供应商提供的本工程的保证项目实施的技术设备和人力资源安排进行评分：</w:t>
            </w:r>
            <w:r>
              <w:rPr>
                <w:rFonts w:hint="eastAsia" w:ascii="宋体" w:hAnsi="宋体" w:cs="宋体"/>
                <w:color w:val="auto"/>
                <w:highlight w:val="none"/>
              </w:rPr>
              <w:t>细致全面、合理、完全响应需求，技术可行性强得</w:t>
            </w:r>
            <w:r>
              <w:rPr>
                <w:rFonts w:hint="eastAsia" w:ascii="宋体" w:hAnsi="宋体" w:cs="宋体"/>
                <w:color w:val="auto"/>
                <w:highlight w:val="none"/>
                <w:lang w:val="en-US" w:eastAsia="zh-CN"/>
              </w:rPr>
              <w:t>5</w:t>
            </w:r>
            <w:r>
              <w:rPr>
                <w:rFonts w:hint="eastAsia" w:ascii="宋体" w:hAnsi="宋体" w:cs="宋体"/>
                <w:color w:val="auto"/>
                <w:highlight w:val="none"/>
              </w:rPr>
              <w:t>分；较为全面、能响应需求，技术可行性较强得</w:t>
            </w:r>
            <w:r>
              <w:rPr>
                <w:rFonts w:hint="eastAsia" w:ascii="宋体" w:hAnsi="宋体" w:cs="宋体"/>
                <w:color w:val="auto"/>
                <w:highlight w:val="none"/>
                <w:lang w:val="en-US" w:eastAsia="zh-CN"/>
              </w:rPr>
              <w:t>3</w:t>
            </w:r>
            <w:r>
              <w:rPr>
                <w:rFonts w:hint="eastAsia" w:ascii="宋体" w:hAnsi="宋体" w:cs="宋体"/>
                <w:color w:val="auto"/>
                <w:highlight w:val="none"/>
              </w:rPr>
              <w:t>分；不完整、响应度低、技术可行性低得1分；不提供不得分</w:t>
            </w:r>
            <w:r>
              <w:rPr>
                <w:rFonts w:hint="eastAsia"/>
                <w:color w:val="auto"/>
                <w:highlight w:val="none"/>
              </w:rPr>
              <w:t>。</w:t>
            </w:r>
          </w:p>
        </w:tc>
      </w:tr>
      <w:tr w14:paraId="0BE265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99" w:hRule="atLeast"/>
          <w:jc w:val="center"/>
        </w:trPr>
        <w:tc>
          <w:tcPr>
            <w:tcW w:w="457" w:type="dxa"/>
            <w:vMerge w:val="continue"/>
            <w:noWrap w:val="0"/>
            <w:vAlign w:val="center"/>
          </w:tcPr>
          <w:p w14:paraId="4EA1CC89">
            <w:pPr>
              <w:rPr>
                <w:rFonts w:ascii="宋体" w:hAnsi="宋体" w:cs="宋体"/>
                <w:color w:val="auto"/>
                <w:highlight w:val="none"/>
              </w:rPr>
            </w:pPr>
          </w:p>
        </w:tc>
        <w:tc>
          <w:tcPr>
            <w:tcW w:w="1074" w:type="dxa"/>
            <w:vMerge w:val="continue"/>
            <w:noWrap w:val="0"/>
            <w:vAlign w:val="center"/>
          </w:tcPr>
          <w:p w14:paraId="5D23229F">
            <w:pPr>
              <w:rPr>
                <w:rFonts w:ascii="宋体" w:hAnsi="宋体" w:cs="宋体"/>
                <w:color w:val="auto"/>
                <w:highlight w:val="none"/>
              </w:rPr>
            </w:pPr>
          </w:p>
        </w:tc>
        <w:tc>
          <w:tcPr>
            <w:tcW w:w="1965" w:type="dxa"/>
            <w:shd w:val="clear" w:color="auto" w:fill="auto"/>
            <w:noWrap w:val="0"/>
            <w:vAlign w:val="center"/>
          </w:tcPr>
          <w:p w14:paraId="1001F552">
            <w:pPr>
              <w:jc w:val="center"/>
              <w:rPr>
                <w:rFonts w:hint="eastAsia" w:ascii="Times New Roman" w:hAnsi="Times New Roman" w:eastAsia="宋体" w:cs="Times New Roman"/>
                <w:color w:val="auto"/>
                <w:sz w:val="24"/>
                <w:szCs w:val="24"/>
                <w:highlight w:val="none"/>
                <w:lang w:val="en-US" w:eastAsia="en-US" w:bidi="ar-SA"/>
              </w:rPr>
            </w:pPr>
            <w:r>
              <w:rPr>
                <w:rFonts w:hint="eastAsia" w:ascii="宋体" w:hAnsi="宋体" w:cs="宋体"/>
                <w:color w:val="auto"/>
                <w:sz w:val="24"/>
                <w:highlight w:val="none"/>
              </w:rPr>
              <w:t>服务保障</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5分</w:t>
            </w:r>
            <w:r>
              <w:rPr>
                <w:rFonts w:hint="eastAsia" w:ascii="宋体" w:hAnsi="宋体" w:cs="宋体"/>
                <w:color w:val="auto"/>
                <w:sz w:val="24"/>
                <w:highlight w:val="none"/>
                <w:lang w:eastAsia="zh-CN"/>
              </w:rPr>
              <w:t>）</w:t>
            </w:r>
          </w:p>
        </w:tc>
        <w:tc>
          <w:tcPr>
            <w:tcW w:w="5899" w:type="dxa"/>
            <w:gridSpan w:val="2"/>
            <w:shd w:val="clear" w:color="auto" w:fill="auto"/>
            <w:noWrap w:val="0"/>
            <w:vAlign w:val="top"/>
          </w:tcPr>
          <w:p w14:paraId="100E1F3C">
            <w:pPr>
              <w:jc w:val="left"/>
              <w:rPr>
                <w:rFonts w:hint="eastAsia" w:ascii="Times New Roman" w:hAnsi="Times New Roman" w:eastAsia="宋体" w:cs="Times New Roman"/>
                <w:color w:val="auto"/>
                <w:sz w:val="24"/>
                <w:szCs w:val="24"/>
                <w:highlight w:val="none"/>
                <w:lang w:val="en-US" w:eastAsia="zh-CN" w:bidi="ar-SA"/>
              </w:rPr>
            </w:pPr>
            <w:r>
              <w:rPr>
                <w:rFonts w:hint="eastAsia" w:ascii="宋体" w:hAnsi="宋体" w:cs="宋体"/>
                <w:color w:val="auto"/>
                <w:sz w:val="24"/>
                <w:highlight w:val="none"/>
              </w:rPr>
              <w:t>根据</w:t>
            </w: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提供的本工程的保障措施进行评分：细致全面、合理、完全响应需求，技术可行性强得</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分；较为完整、基本响应需求的得</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分；不完全、响应度低、技术可行性低得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分；不提供不得分。</w:t>
            </w:r>
          </w:p>
        </w:tc>
      </w:tr>
    </w:tbl>
    <w:p w14:paraId="4462E0F5">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1"/>
        <w:rPr>
          <w:rFonts w:ascii="宋体" w:hAnsi="宋体"/>
          <w:b/>
          <w:color w:val="auto"/>
          <w:highlight w:val="none"/>
        </w:rPr>
      </w:pPr>
      <w:r>
        <w:rPr>
          <w:rFonts w:hint="eastAsia" w:ascii="宋体" w:hAnsi="宋体"/>
          <w:b/>
          <w:color w:val="auto"/>
          <w:highlight w:val="none"/>
        </w:rPr>
        <w:t>1.资格审查</w:t>
      </w:r>
    </w:p>
    <w:p w14:paraId="68B7DF1C">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2"/>
        <w:rPr>
          <w:rFonts w:ascii="宋体" w:hAnsi="宋体"/>
          <w:b/>
          <w:color w:val="auto"/>
          <w:highlight w:val="none"/>
        </w:rPr>
      </w:pPr>
      <w:r>
        <w:rPr>
          <w:rFonts w:hint="eastAsia" w:ascii="宋体" w:hAnsi="宋体"/>
          <w:b/>
          <w:color w:val="auto"/>
          <w:highlight w:val="none"/>
        </w:rPr>
        <w:t>1.1资格审查</w:t>
      </w:r>
    </w:p>
    <w:p w14:paraId="208D28F4">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1.1.1资格审查由竞争性磋商小组负责。</w:t>
      </w:r>
    </w:p>
    <w:p w14:paraId="33FE1998">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1.1.2资格审查因素和标准：见竞争性磋商前附表</w:t>
      </w:r>
    </w:p>
    <w:p w14:paraId="500DE1FB">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1"/>
        <w:rPr>
          <w:rFonts w:ascii="宋体" w:hAnsi="宋体"/>
          <w:b/>
          <w:color w:val="auto"/>
          <w:highlight w:val="none"/>
        </w:rPr>
      </w:pPr>
      <w:r>
        <w:rPr>
          <w:rFonts w:hint="eastAsia" w:ascii="宋体" w:hAnsi="宋体"/>
          <w:b/>
          <w:color w:val="auto"/>
          <w:highlight w:val="none"/>
        </w:rPr>
        <w:t>2.磋商</w:t>
      </w:r>
    </w:p>
    <w:p w14:paraId="7B5CA19A">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2"/>
        <w:rPr>
          <w:rFonts w:ascii="宋体" w:hAnsi="宋体"/>
          <w:b/>
          <w:color w:val="auto"/>
          <w:highlight w:val="none"/>
        </w:rPr>
      </w:pPr>
      <w:r>
        <w:rPr>
          <w:rFonts w:hint="eastAsia" w:ascii="宋体" w:hAnsi="宋体"/>
          <w:b/>
          <w:color w:val="auto"/>
          <w:highlight w:val="none"/>
        </w:rPr>
        <w:t>2.1确定磋商对象</w:t>
      </w:r>
    </w:p>
    <w:p w14:paraId="5A923D1C">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磋商小组邀请资格审查合格的供应商参加磋商。</w:t>
      </w:r>
    </w:p>
    <w:p w14:paraId="07EA460E">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2"/>
        <w:rPr>
          <w:rFonts w:ascii="宋体" w:hAnsi="宋体"/>
          <w:b/>
          <w:color w:val="auto"/>
          <w:highlight w:val="none"/>
        </w:rPr>
      </w:pPr>
      <w:r>
        <w:rPr>
          <w:rFonts w:hint="eastAsia" w:ascii="宋体" w:hAnsi="宋体"/>
          <w:b/>
          <w:color w:val="auto"/>
          <w:highlight w:val="none"/>
        </w:rPr>
        <w:t>2.2磋商</w:t>
      </w:r>
    </w:p>
    <w:p w14:paraId="251DDAED">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outlineLvl w:val="3"/>
        <w:rPr>
          <w:rFonts w:ascii="宋体" w:hAnsi="宋体"/>
          <w:bCs/>
          <w:color w:val="auto"/>
          <w:highlight w:val="none"/>
        </w:rPr>
      </w:pPr>
      <w:r>
        <w:rPr>
          <w:rFonts w:hint="eastAsia" w:ascii="宋体" w:hAnsi="宋体"/>
          <w:color w:val="auto"/>
          <w:highlight w:val="none"/>
        </w:rPr>
        <w:t>2.2.1磋商小组所有成员集中与单一供应商分别进行磋商，</w:t>
      </w:r>
      <w:r>
        <w:rPr>
          <w:rFonts w:hint="eastAsia" w:ascii="宋体" w:hAnsi="宋体"/>
          <w:bCs/>
          <w:color w:val="auto"/>
          <w:highlight w:val="none"/>
        </w:rPr>
        <w:t>供应商在项目评审全过程中应保持通讯畅通，并安排法定代表人或授权委托人与采购人及磋商小组联系。</w:t>
      </w:r>
    </w:p>
    <w:p w14:paraId="761F1117">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2.2.2磋商小组与供应商就采购需求中的技术、服务要求以及合同草案条款进行磋商。</w:t>
      </w:r>
    </w:p>
    <w:p w14:paraId="02396A37">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2.2.3磋商结束后，磋商小组依据磋商的情况，形成经磋商确定的磋商文件。</w:t>
      </w:r>
    </w:p>
    <w:p w14:paraId="77D71339">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2.2.4对磋商文件作出的实质性变动是磋商文件的有效组成部分，磋商小组将以书面形式同时通知所有参加磋商的供应商。</w:t>
      </w:r>
    </w:p>
    <w:p w14:paraId="69BBBDC6">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2.2.5在提交最终报价之前，供应商可以根据磋商情况退出磋商。</w:t>
      </w:r>
    </w:p>
    <w:p w14:paraId="4D59D01D">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1"/>
        <w:rPr>
          <w:rFonts w:ascii="宋体" w:hAnsi="宋体"/>
          <w:b/>
          <w:color w:val="auto"/>
          <w:highlight w:val="none"/>
        </w:rPr>
      </w:pPr>
      <w:r>
        <w:rPr>
          <w:rFonts w:hint="eastAsia" w:ascii="宋体" w:hAnsi="宋体"/>
          <w:b/>
          <w:color w:val="auto"/>
          <w:highlight w:val="none"/>
        </w:rPr>
        <w:t>3.再次提交响应文件</w:t>
      </w:r>
    </w:p>
    <w:p w14:paraId="5902027B">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2"/>
        <w:rPr>
          <w:rFonts w:ascii="宋体" w:hAnsi="宋体"/>
          <w:b/>
          <w:color w:val="auto"/>
          <w:highlight w:val="none"/>
        </w:rPr>
      </w:pPr>
      <w:r>
        <w:rPr>
          <w:rFonts w:hint="eastAsia" w:ascii="宋体" w:hAnsi="宋体"/>
          <w:b/>
          <w:color w:val="auto"/>
          <w:highlight w:val="none"/>
        </w:rPr>
        <w:t>3.1技术、服务要求和合同草案条款响应</w:t>
      </w:r>
    </w:p>
    <w:p w14:paraId="085FEB80">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供应商按照磋商文件的变动情况和磋商小组的要求，对采购需求中的技术、服务要求以及合同草案条款作出响应。</w:t>
      </w:r>
    </w:p>
    <w:p w14:paraId="4CF62BD1">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2"/>
        <w:rPr>
          <w:rFonts w:ascii="宋体" w:hAnsi="宋体"/>
          <w:b/>
          <w:color w:val="auto"/>
          <w:highlight w:val="none"/>
        </w:rPr>
      </w:pPr>
      <w:r>
        <w:rPr>
          <w:rFonts w:hint="eastAsia" w:ascii="宋体" w:hAnsi="宋体"/>
          <w:b/>
          <w:color w:val="auto"/>
          <w:highlight w:val="none"/>
        </w:rPr>
        <w:t>3.2最终报价</w:t>
      </w:r>
    </w:p>
    <w:p w14:paraId="1A707E47">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供应商按照磋商小组的要求，在规定的时间内，通过“苏采云”系统提交最终报价。供应商最后一次报价或最终报价应在工程数量、要求、服务等方面不降低的情况下，不得高于前一次报价，否则，磋商小组有权拒绝该磋商报价并不再给予报价补救机会。</w:t>
      </w:r>
    </w:p>
    <w:p w14:paraId="661E029B">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1"/>
        <w:rPr>
          <w:rFonts w:ascii="宋体" w:hAnsi="宋体"/>
          <w:b/>
          <w:color w:val="auto"/>
          <w:highlight w:val="none"/>
        </w:rPr>
      </w:pPr>
      <w:r>
        <w:rPr>
          <w:rFonts w:hint="eastAsia" w:ascii="宋体" w:hAnsi="宋体"/>
          <w:b/>
          <w:color w:val="auto"/>
          <w:highlight w:val="none"/>
        </w:rPr>
        <w:t>4.响应性评审</w:t>
      </w:r>
    </w:p>
    <w:p w14:paraId="5E4934D7">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4.1响应性评审由竞争性磋商小组负责。</w:t>
      </w:r>
    </w:p>
    <w:p w14:paraId="2A38049B">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4.2响应性评审因素和标准：见竞争性磋商前附表。</w:t>
      </w:r>
    </w:p>
    <w:p w14:paraId="4E1F5C42">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1"/>
        <w:rPr>
          <w:rFonts w:ascii="宋体" w:hAnsi="宋体"/>
          <w:b/>
          <w:color w:val="auto"/>
          <w:highlight w:val="none"/>
        </w:rPr>
      </w:pPr>
      <w:r>
        <w:rPr>
          <w:rFonts w:hint="eastAsia" w:ascii="宋体" w:hAnsi="宋体"/>
          <w:b/>
          <w:color w:val="auto"/>
          <w:highlight w:val="none"/>
        </w:rPr>
        <w:t>5.详细评审</w:t>
      </w:r>
    </w:p>
    <w:p w14:paraId="4601966A">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5.1详细评审由竞争性磋商小组负责。</w:t>
      </w:r>
    </w:p>
    <w:p w14:paraId="35F1A1E8">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5.2详细评审因素和标准：见竞争性磋商前附表。供应商的最终得分为磋商小组所有评委评分的算术平均值，保留小数点后两位。</w:t>
      </w:r>
    </w:p>
    <w:p w14:paraId="562EF7BD">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1"/>
        <w:rPr>
          <w:rFonts w:ascii="宋体" w:hAnsi="宋体"/>
          <w:b/>
          <w:color w:val="auto"/>
          <w:highlight w:val="none"/>
        </w:rPr>
      </w:pPr>
      <w:r>
        <w:rPr>
          <w:rFonts w:hint="eastAsia" w:ascii="宋体" w:hAnsi="宋体"/>
          <w:b/>
          <w:color w:val="auto"/>
          <w:highlight w:val="none"/>
        </w:rPr>
        <w:t>6.推荐成交候选人</w:t>
      </w:r>
    </w:p>
    <w:p w14:paraId="5F1482FB">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b/>
          <w:bCs/>
          <w:color w:val="auto"/>
          <w:highlight w:val="none"/>
        </w:rPr>
      </w:pPr>
      <w:r>
        <w:rPr>
          <w:rFonts w:hint="eastAsia" w:ascii="宋体" w:hAnsi="宋体"/>
          <w:color w:val="auto"/>
          <w:highlight w:val="none"/>
        </w:rPr>
        <w:t>磋商小组采用综合评分法对供应商的响应文件和最终报价进行综合评分。磋商小组根据综合评分情况，按照评审得分由高到低顺序推荐3名及以上成交候选供应商，并编写评审报告。</w:t>
      </w:r>
    </w:p>
    <w:p w14:paraId="4B379713">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1"/>
        <w:rPr>
          <w:rFonts w:ascii="宋体" w:hAnsi="宋体"/>
          <w:b/>
          <w:color w:val="auto"/>
          <w:highlight w:val="none"/>
        </w:rPr>
      </w:pPr>
      <w:r>
        <w:rPr>
          <w:rFonts w:hint="eastAsia" w:ascii="宋体" w:hAnsi="宋体"/>
          <w:b/>
          <w:color w:val="auto"/>
          <w:highlight w:val="none"/>
        </w:rPr>
        <w:t>7.确定成交供应商</w:t>
      </w:r>
    </w:p>
    <w:p w14:paraId="0AA9E090">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采购人从磋商小组提出的成交候选人中根据符合采购需求且评审得分最高的原则确定成交供应商，并将结果通知所有参加磋商的未成交的供应商。</w:t>
      </w:r>
    </w:p>
    <w:p w14:paraId="393456F9">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1"/>
        <w:rPr>
          <w:rFonts w:ascii="宋体" w:hAnsi="宋体"/>
          <w:b/>
          <w:color w:val="auto"/>
          <w:highlight w:val="none"/>
        </w:rPr>
      </w:pPr>
      <w:r>
        <w:rPr>
          <w:rFonts w:hint="eastAsia" w:ascii="宋体" w:hAnsi="宋体"/>
          <w:b/>
          <w:color w:val="auto"/>
          <w:highlight w:val="none"/>
        </w:rPr>
        <w:t>8.澄清、说明或补正</w:t>
      </w:r>
    </w:p>
    <w:p w14:paraId="4F2FFDFF">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8.1磋商小组在评审过程中，可以要求供应商对响应文件中含义不明确、同类问题表述不一致或者有明显文字和计算错误的内容等作出必要的澄清、说明或者更正。</w:t>
      </w:r>
    </w:p>
    <w:p w14:paraId="465FBAE3">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8.2磋商小组要求供应商澄清、说明或者更正响应文件应当以书面形式作出。</w:t>
      </w:r>
    </w:p>
    <w:p w14:paraId="292635CC">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8.3供应商的澄清、说明或者更正应当由法定代表人或其授权代表签字</w:t>
      </w:r>
      <w:r>
        <w:rPr>
          <w:rFonts w:hint="eastAsia" w:ascii="宋体" w:hAnsi="宋体"/>
          <w:color w:val="auto"/>
          <w:highlight w:val="none"/>
          <w:lang w:val="en-US" w:eastAsia="zh-CN"/>
        </w:rPr>
        <w:t>或盖章并</w:t>
      </w:r>
      <w:r>
        <w:rPr>
          <w:rFonts w:hint="eastAsia" w:ascii="宋体" w:hAnsi="宋体"/>
          <w:color w:val="auto"/>
          <w:highlight w:val="none"/>
        </w:rPr>
        <w:t>加盖公章。由授权代表签字</w:t>
      </w:r>
      <w:r>
        <w:rPr>
          <w:rFonts w:hint="eastAsia" w:ascii="宋体" w:hAnsi="宋体"/>
          <w:color w:val="auto"/>
          <w:highlight w:val="none"/>
          <w:lang w:val="en-US" w:eastAsia="zh-CN"/>
        </w:rPr>
        <w:t>或盖章</w:t>
      </w:r>
      <w:r>
        <w:rPr>
          <w:rFonts w:hint="eastAsia" w:ascii="宋体" w:hAnsi="宋体"/>
          <w:color w:val="auto"/>
          <w:highlight w:val="none"/>
        </w:rPr>
        <w:t>的，应当附法定代表人授权书。供应商的书面澄清材料作为响应文件的补充。</w:t>
      </w:r>
    </w:p>
    <w:p w14:paraId="1080F230">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8.4供应商的澄清、说明或者更正不得超出响应文件的范围或者改变响应文件的实质性内容。</w:t>
      </w:r>
    </w:p>
    <w:p w14:paraId="66A8BA67">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outlineLvl w:val="2"/>
        <w:rPr>
          <w:rFonts w:ascii="宋体" w:hAnsi="宋体"/>
          <w:color w:val="auto"/>
          <w:highlight w:val="none"/>
        </w:rPr>
      </w:pPr>
      <w:r>
        <w:rPr>
          <w:rFonts w:hint="eastAsia" w:ascii="宋体" w:hAnsi="宋体"/>
          <w:color w:val="auto"/>
          <w:highlight w:val="none"/>
        </w:rPr>
        <w:t>8.5磋商小组不得接受供应商主动提出的澄清、说明或补正。</w:t>
      </w:r>
    </w:p>
    <w:p w14:paraId="1E95529C">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outlineLvl w:val="2"/>
        <w:rPr>
          <w:rFonts w:ascii="宋体" w:hAnsi="宋体"/>
          <w:color w:val="auto"/>
          <w:highlight w:val="none"/>
        </w:rPr>
      </w:pPr>
      <w:r>
        <w:rPr>
          <w:rFonts w:hint="eastAsia" w:ascii="宋体" w:hAnsi="宋体"/>
          <w:b/>
          <w:bCs/>
          <w:color w:val="auto"/>
          <w:highlight w:val="none"/>
        </w:rPr>
        <w:t>8.6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接到磋商小组澄清、说明和更正要求的供应商如未按规定做出澄清、说明和更正，其风险由供应商自行承担。</w:t>
      </w:r>
    </w:p>
    <w:p w14:paraId="5C2B50B8">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1"/>
        <w:rPr>
          <w:rFonts w:ascii="宋体" w:hAnsi="宋体"/>
          <w:b/>
          <w:color w:val="auto"/>
          <w:highlight w:val="none"/>
        </w:rPr>
      </w:pPr>
      <w:r>
        <w:rPr>
          <w:rFonts w:hint="eastAsia" w:ascii="宋体" w:hAnsi="宋体"/>
          <w:b/>
          <w:color w:val="auto"/>
          <w:highlight w:val="none"/>
        </w:rPr>
        <w:t>9.评审过程中特殊情况的处理规定</w:t>
      </w:r>
    </w:p>
    <w:p w14:paraId="36EF801E">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2"/>
        <w:rPr>
          <w:rFonts w:ascii="宋体" w:hAnsi="宋体"/>
          <w:b/>
          <w:color w:val="auto"/>
          <w:highlight w:val="none"/>
        </w:rPr>
      </w:pPr>
      <w:r>
        <w:rPr>
          <w:rFonts w:hint="eastAsia" w:ascii="宋体" w:hAnsi="宋体"/>
          <w:b/>
          <w:color w:val="auto"/>
          <w:highlight w:val="none"/>
        </w:rPr>
        <w:t>9.1磋商小组成员的更换</w:t>
      </w:r>
    </w:p>
    <w:p w14:paraId="2B36399A">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（1）评审过程中，因磋商小组成员缺席、回避或者健康等特殊原因导致磋商小组组成不符合规定的，采购人将依法补足后继续评审。被更换的磋商小组成员所作出的评审意见无效。 </w:t>
      </w:r>
    </w:p>
    <w:p w14:paraId="7B074246">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（2）无法及时补足磋商小组成员的，采购人将停止评审活动，封存所有资料，依法重新组建磋商小组进行评审。原磋商小组所作出的评审意见无效。</w:t>
      </w:r>
    </w:p>
    <w:p w14:paraId="11B04577">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2"/>
        <w:rPr>
          <w:rFonts w:ascii="宋体" w:hAnsi="宋体"/>
          <w:b/>
          <w:color w:val="auto"/>
          <w:highlight w:val="none"/>
        </w:rPr>
      </w:pPr>
      <w:r>
        <w:rPr>
          <w:rFonts w:hint="eastAsia" w:ascii="宋体" w:hAnsi="宋体"/>
          <w:b/>
          <w:color w:val="auto"/>
          <w:highlight w:val="none"/>
        </w:rPr>
        <w:t>9.2异常低价的处理</w:t>
      </w:r>
    </w:p>
    <w:p w14:paraId="5179009B">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b/>
          <w:bCs/>
          <w:color w:val="auto"/>
          <w:highlight w:val="none"/>
        </w:rPr>
      </w:pPr>
      <w:r>
        <w:rPr>
          <w:rFonts w:hint="eastAsia" w:ascii="宋体" w:hAnsi="宋体"/>
          <w:b/>
          <w:bCs/>
          <w:color w:val="auto"/>
          <w:highlight w:val="none"/>
        </w:rPr>
        <w:t>（1）</w:t>
      </w:r>
      <w:r>
        <w:rPr>
          <w:rFonts w:ascii="宋体" w:hAnsi="宋体"/>
          <w:b/>
          <w:bCs/>
          <w:color w:val="auto"/>
          <w:highlight w:val="none"/>
        </w:rPr>
        <w:t xml:space="preserve">评审过程中出现下列情形之一的，磋商小组应当启动异常低价投标（响应）审查程序： </w:t>
      </w:r>
    </w:p>
    <w:p w14:paraId="5F054B4D">
      <w:pPr>
        <w:keepNext w:val="0"/>
        <w:keepLines w:val="0"/>
        <w:pageBreakBefore w:val="0"/>
        <w:widowControl w:val="0"/>
        <w:kinsoku/>
        <w:wordWrap/>
        <w:overflowPunct/>
        <w:topLinePunct w:val="0"/>
        <w:autoSpaceDE/>
        <w:autoSpaceDN/>
        <w:bidi w:val="0"/>
        <w:adjustRightInd/>
        <w:snapToGrid w:val="0"/>
        <w:spacing w:line="312" w:lineRule="auto"/>
        <w:ind w:firstLine="723" w:firstLineChars="300"/>
        <w:textAlignment w:val="auto"/>
        <w:outlineLvl w:val="2"/>
        <w:rPr>
          <w:rFonts w:hint="eastAsia" w:ascii="宋体" w:hAnsi="宋体"/>
          <w:b/>
          <w:color w:val="auto"/>
          <w:highlight w:val="none"/>
        </w:rPr>
      </w:pPr>
      <w:r>
        <w:rPr>
          <w:rFonts w:hint="eastAsia" w:ascii="宋体" w:hAnsi="宋体"/>
          <w:b/>
          <w:color w:val="auto"/>
          <w:highlight w:val="none"/>
        </w:rPr>
        <w:t xml:space="preserve">1.投标（响应）报价低于全部通过符合性审查供应商投标（响应）报价平均值50%的，即投标（响应）报价&lt;全部通过符合性审查供应商投标（响应）报价平均值×50%； </w:t>
      </w:r>
    </w:p>
    <w:p w14:paraId="2DE0E981">
      <w:pPr>
        <w:keepNext w:val="0"/>
        <w:keepLines w:val="0"/>
        <w:pageBreakBefore w:val="0"/>
        <w:widowControl w:val="0"/>
        <w:kinsoku/>
        <w:wordWrap/>
        <w:overflowPunct/>
        <w:topLinePunct w:val="0"/>
        <w:autoSpaceDE/>
        <w:autoSpaceDN/>
        <w:bidi w:val="0"/>
        <w:adjustRightInd/>
        <w:snapToGrid w:val="0"/>
        <w:spacing w:line="312" w:lineRule="auto"/>
        <w:ind w:firstLine="723" w:firstLineChars="300"/>
        <w:textAlignment w:val="auto"/>
        <w:outlineLvl w:val="2"/>
        <w:rPr>
          <w:rFonts w:hint="eastAsia" w:ascii="宋体" w:hAnsi="宋体"/>
          <w:b/>
          <w:color w:val="auto"/>
          <w:highlight w:val="none"/>
        </w:rPr>
      </w:pPr>
      <w:r>
        <w:rPr>
          <w:rFonts w:hint="eastAsia" w:ascii="宋体" w:hAnsi="宋体"/>
          <w:b/>
          <w:color w:val="auto"/>
          <w:highlight w:val="none"/>
        </w:rPr>
        <w:t xml:space="preserve">2.投标（响应）报价低于通过符合性审查的次低报价供应商投标（响应）报价50%的，即投标（响应）报价&lt;通过符合性审查的次低报价供应商投标（响应）报价×50%； </w:t>
      </w:r>
    </w:p>
    <w:p w14:paraId="5ABE5870">
      <w:pPr>
        <w:keepNext w:val="0"/>
        <w:keepLines w:val="0"/>
        <w:pageBreakBefore w:val="0"/>
        <w:widowControl w:val="0"/>
        <w:kinsoku/>
        <w:wordWrap/>
        <w:overflowPunct/>
        <w:topLinePunct w:val="0"/>
        <w:autoSpaceDE/>
        <w:autoSpaceDN/>
        <w:bidi w:val="0"/>
        <w:adjustRightInd/>
        <w:snapToGrid w:val="0"/>
        <w:spacing w:line="312" w:lineRule="auto"/>
        <w:ind w:firstLine="723" w:firstLineChars="300"/>
        <w:textAlignment w:val="auto"/>
        <w:outlineLvl w:val="2"/>
        <w:rPr>
          <w:rFonts w:hint="eastAsia" w:ascii="宋体" w:hAnsi="宋体"/>
          <w:b/>
          <w:color w:val="auto"/>
          <w:highlight w:val="none"/>
        </w:rPr>
      </w:pPr>
      <w:r>
        <w:rPr>
          <w:rFonts w:hint="eastAsia" w:ascii="宋体" w:hAnsi="宋体"/>
          <w:b/>
          <w:color w:val="auto"/>
          <w:highlight w:val="none"/>
        </w:rPr>
        <w:t xml:space="preserve">3.投标（响应）报价低于采购项目最高限价45%的，即投标（响应）报价&lt;采购项目最高限价×45%； </w:t>
      </w:r>
    </w:p>
    <w:p w14:paraId="765BF457">
      <w:pPr>
        <w:keepNext w:val="0"/>
        <w:keepLines w:val="0"/>
        <w:pageBreakBefore w:val="0"/>
        <w:widowControl w:val="0"/>
        <w:kinsoku/>
        <w:wordWrap/>
        <w:overflowPunct/>
        <w:topLinePunct w:val="0"/>
        <w:autoSpaceDE/>
        <w:autoSpaceDN/>
        <w:bidi w:val="0"/>
        <w:adjustRightInd/>
        <w:snapToGrid w:val="0"/>
        <w:spacing w:line="312" w:lineRule="auto"/>
        <w:ind w:firstLine="723" w:firstLineChars="300"/>
        <w:textAlignment w:val="auto"/>
        <w:outlineLvl w:val="2"/>
        <w:rPr>
          <w:rFonts w:hint="eastAsia" w:ascii="宋体" w:hAnsi="宋体"/>
          <w:b/>
          <w:color w:val="auto"/>
          <w:highlight w:val="none"/>
        </w:rPr>
      </w:pPr>
      <w:r>
        <w:rPr>
          <w:rFonts w:hint="eastAsia" w:ascii="宋体" w:hAnsi="宋体"/>
          <w:b/>
          <w:color w:val="auto"/>
          <w:highlight w:val="none"/>
        </w:rPr>
        <w:t xml:space="preserve">4.评审委员会基于专业判断，认为供应商报价过低，有可能影响产品质量或者不能诚信履约的其他情形。 </w:t>
      </w:r>
    </w:p>
    <w:p w14:paraId="1C8D74B2">
      <w:pPr>
        <w:keepNext w:val="0"/>
        <w:keepLines w:val="0"/>
        <w:pageBreakBefore w:val="0"/>
        <w:widowControl w:val="0"/>
        <w:kinsoku/>
        <w:wordWrap/>
        <w:overflowPunct/>
        <w:topLinePunct w:val="0"/>
        <w:autoSpaceDE/>
        <w:autoSpaceDN/>
        <w:bidi w:val="0"/>
        <w:adjustRightInd/>
        <w:snapToGrid w:val="0"/>
        <w:spacing w:line="312" w:lineRule="auto"/>
        <w:ind w:firstLine="723" w:firstLineChars="300"/>
        <w:textAlignment w:val="auto"/>
        <w:outlineLvl w:val="2"/>
        <w:rPr>
          <w:rFonts w:hint="eastAsia" w:ascii="宋体" w:hAnsi="宋体"/>
          <w:b/>
          <w:color w:val="auto"/>
          <w:highlight w:val="none"/>
          <w:lang w:val="en-US" w:eastAsia="zh-CN"/>
        </w:rPr>
      </w:pPr>
      <w:r>
        <w:rPr>
          <w:rFonts w:hint="eastAsia" w:ascii="宋体" w:hAnsi="宋体"/>
          <w:b/>
          <w:color w:val="auto"/>
          <w:highlight w:val="none"/>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429AEAA8">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2"/>
        <w:rPr>
          <w:rFonts w:ascii="宋体" w:hAnsi="宋体"/>
          <w:b/>
          <w:color w:val="auto"/>
          <w:highlight w:val="none"/>
        </w:rPr>
      </w:pPr>
      <w:r>
        <w:rPr>
          <w:rFonts w:hint="eastAsia" w:ascii="宋体" w:hAnsi="宋体"/>
          <w:b/>
          <w:color w:val="auto"/>
          <w:highlight w:val="none"/>
        </w:rPr>
        <w:t>9.3争议解决</w:t>
      </w:r>
    </w:p>
    <w:p w14:paraId="6A18944B">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磋商小组成员对需要共同认定的事项存在争议的，按照少数服从多数的原则作出结论。持不同意见的成员须在评审报告上签署不同意见及理由。</w:t>
      </w:r>
    </w:p>
    <w:p w14:paraId="4D52BA0D">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2"/>
        <w:rPr>
          <w:rFonts w:ascii="宋体" w:hAnsi="宋体"/>
          <w:b/>
          <w:color w:val="auto"/>
          <w:highlight w:val="none"/>
        </w:rPr>
      </w:pPr>
      <w:r>
        <w:rPr>
          <w:rFonts w:hint="eastAsia" w:ascii="宋体" w:hAnsi="宋体"/>
          <w:b/>
          <w:color w:val="auto"/>
          <w:highlight w:val="none"/>
        </w:rPr>
        <w:t>9.4评审终止</w:t>
      </w:r>
    </w:p>
    <w:p w14:paraId="04B537A7">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磋商小组发现竞争性磋商文件存在歧义、重大缺陷导致评审工作无法进行，或者竞争性磋商文件内容违反国家有关强制性规定的，应当停止评审工作，与采购人沟通并作书面记录。采购人确认后，终止评审活动。</w:t>
      </w:r>
    </w:p>
    <w:p w14:paraId="747ED9F2">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2"/>
        <w:rPr>
          <w:rFonts w:ascii="宋体" w:hAnsi="宋体"/>
          <w:b/>
          <w:color w:val="auto"/>
          <w:highlight w:val="none"/>
        </w:rPr>
      </w:pPr>
      <w:r>
        <w:rPr>
          <w:rFonts w:hint="eastAsia" w:ascii="宋体" w:hAnsi="宋体"/>
          <w:b/>
          <w:color w:val="auto"/>
          <w:highlight w:val="none"/>
        </w:rPr>
        <w:t>9.5得分相同</w:t>
      </w:r>
    </w:p>
    <w:p w14:paraId="32236BAE">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评审得分相同的，最终报价低的优先；评审得分且最终报价相同的，技术指标得分高的优先；评审得分、最终报价和技术指标得分均相同的，采购人</w:t>
      </w:r>
      <w:r>
        <w:rPr>
          <w:rFonts w:hint="eastAsia" w:ascii="宋体" w:hAnsi="宋体"/>
          <w:color w:val="auto"/>
          <w:highlight w:val="none"/>
          <w:lang w:val="en-US" w:eastAsia="zh-CN"/>
        </w:rPr>
        <w:t>现场</w:t>
      </w:r>
      <w:r>
        <w:rPr>
          <w:rFonts w:hint="eastAsia" w:ascii="宋体" w:hAnsi="宋体"/>
          <w:color w:val="auto"/>
          <w:highlight w:val="none"/>
        </w:rPr>
        <w:t>随机抽取方式确定。</w:t>
      </w:r>
    </w:p>
    <w:p w14:paraId="64F11438">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2"/>
        <w:rPr>
          <w:rFonts w:ascii="宋体" w:hAnsi="宋体"/>
          <w:b/>
          <w:color w:val="auto"/>
          <w:highlight w:val="none"/>
        </w:rPr>
      </w:pPr>
      <w:r>
        <w:rPr>
          <w:rFonts w:hint="eastAsia" w:ascii="宋体" w:hAnsi="宋体"/>
          <w:b/>
          <w:color w:val="auto"/>
          <w:highlight w:val="none"/>
        </w:rPr>
        <w:t>9.6评审报告签署</w:t>
      </w:r>
    </w:p>
    <w:p w14:paraId="6F3E964A">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p>
    <w:p w14:paraId="7F474832">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1"/>
        <w:rPr>
          <w:rFonts w:ascii="宋体" w:hAnsi="宋体"/>
          <w:b/>
          <w:color w:val="auto"/>
          <w:highlight w:val="none"/>
        </w:rPr>
      </w:pPr>
      <w:r>
        <w:rPr>
          <w:rFonts w:hint="eastAsia" w:ascii="宋体" w:hAnsi="宋体"/>
          <w:b/>
          <w:color w:val="auto"/>
          <w:highlight w:val="none"/>
        </w:rPr>
        <w:t>10.判定无效响应的规定</w:t>
      </w:r>
    </w:p>
    <w:p w14:paraId="18BA225A">
      <w:pPr>
        <w:keepNext w:val="0"/>
        <w:keepLines w:val="0"/>
        <w:pageBreakBefore w:val="0"/>
        <w:widowControl w:val="0"/>
        <w:kinsoku/>
        <w:wordWrap/>
        <w:overflowPunct/>
        <w:topLinePunct w:val="0"/>
        <w:autoSpaceDE/>
        <w:autoSpaceDN/>
        <w:bidi w:val="0"/>
        <w:adjustRightInd/>
        <w:snapToGrid w:val="0"/>
        <w:spacing w:line="312" w:lineRule="auto"/>
        <w:textAlignment w:val="auto"/>
        <w:rPr>
          <w:rFonts w:ascii="宋体" w:hAnsi="宋体"/>
          <w:b/>
          <w:color w:val="auto"/>
          <w:highlight w:val="none"/>
        </w:rPr>
      </w:pPr>
      <w:r>
        <w:rPr>
          <w:rFonts w:hint="eastAsia" w:ascii="宋体" w:hAnsi="宋体"/>
          <w:b/>
          <w:color w:val="auto"/>
          <w:highlight w:val="none"/>
        </w:rPr>
        <w:t>10.1响应文件开启过程中，有下列情形之一的，作无效响应处理。</w:t>
      </w:r>
    </w:p>
    <w:p w14:paraId="0D7BC398">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（1）响应文件无法解密；</w:t>
      </w:r>
    </w:p>
    <w:p w14:paraId="28181973">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（2）响应文件未在规定的时间内解密成功。</w:t>
      </w:r>
    </w:p>
    <w:p w14:paraId="44FB2C5C">
      <w:pPr>
        <w:keepNext w:val="0"/>
        <w:keepLines w:val="0"/>
        <w:pageBreakBefore w:val="0"/>
        <w:widowControl w:val="0"/>
        <w:kinsoku/>
        <w:wordWrap/>
        <w:overflowPunct/>
        <w:topLinePunct w:val="0"/>
        <w:autoSpaceDE/>
        <w:autoSpaceDN/>
        <w:bidi w:val="0"/>
        <w:adjustRightInd/>
        <w:snapToGrid w:val="0"/>
        <w:spacing w:line="312" w:lineRule="auto"/>
        <w:textAlignment w:val="auto"/>
        <w:rPr>
          <w:rFonts w:ascii="宋体" w:hAnsi="宋体"/>
          <w:b/>
          <w:color w:val="auto"/>
          <w:highlight w:val="none"/>
        </w:rPr>
      </w:pPr>
      <w:r>
        <w:rPr>
          <w:rFonts w:hint="eastAsia" w:ascii="宋体" w:hAnsi="宋体"/>
          <w:b/>
          <w:color w:val="auto"/>
          <w:highlight w:val="none"/>
        </w:rPr>
        <w:t>10.2资格审查结果为不合格的，作无效响应处理。</w:t>
      </w:r>
    </w:p>
    <w:p w14:paraId="4C7D6A50">
      <w:pPr>
        <w:keepNext w:val="0"/>
        <w:keepLines w:val="0"/>
        <w:pageBreakBefore w:val="0"/>
        <w:widowControl w:val="0"/>
        <w:kinsoku/>
        <w:wordWrap/>
        <w:overflowPunct/>
        <w:topLinePunct w:val="0"/>
        <w:autoSpaceDE/>
        <w:autoSpaceDN/>
        <w:bidi w:val="0"/>
        <w:adjustRightInd/>
        <w:snapToGrid w:val="0"/>
        <w:spacing w:line="312" w:lineRule="auto"/>
        <w:textAlignment w:val="auto"/>
        <w:rPr>
          <w:rFonts w:ascii="宋体" w:hAnsi="宋体"/>
          <w:b/>
          <w:color w:val="auto"/>
          <w:highlight w:val="none"/>
        </w:rPr>
      </w:pPr>
      <w:r>
        <w:rPr>
          <w:rFonts w:hint="eastAsia" w:ascii="宋体" w:hAnsi="宋体"/>
          <w:b/>
          <w:color w:val="auto"/>
          <w:highlight w:val="none"/>
        </w:rPr>
        <w:t>10.3评审过程中，有下列情形之一的，作无效响应处理。</w:t>
      </w:r>
    </w:p>
    <w:p w14:paraId="167B5AC1">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（1）未按照磋商小组要求提供书面说明及相关证明材料证明其报价合理性的；</w:t>
      </w:r>
    </w:p>
    <w:p w14:paraId="7DF5CF63">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outlineLvl w:val="2"/>
        <w:rPr>
          <w:rFonts w:ascii="宋体" w:hAnsi="宋体"/>
          <w:color w:val="auto"/>
          <w:highlight w:val="none"/>
        </w:rPr>
      </w:pPr>
      <w:r>
        <w:rPr>
          <w:rFonts w:hint="eastAsia" w:ascii="宋体" w:hAnsi="宋体"/>
          <w:color w:val="auto"/>
          <w:highlight w:val="none"/>
        </w:rPr>
        <w:t>（2）响应文件含有采购人不能接受的附加条件的。</w:t>
      </w:r>
    </w:p>
    <w:p w14:paraId="09E30F20">
      <w:pPr>
        <w:keepNext w:val="0"/>
        <w:keepLines w:val="0"/>
        <w:pageBreakBefore w:val="0"/>
        <w:widowControl w:val="0"/>
        <w:kinsoku/>
        <w:wordWrap/>
        <w:overflowPunct/>
        <w:topLinePunct w:val="0"/>
        <w:autoSpaceDE/>
        <w:autoSpaceDN/>
        <w:bidi w:val="0"/>
        <w:adjustRightInd/>
        <w:snapToGrid w:val="0"/>
        <w:spacing w:line="312" w:lineRule="auto"/>
        <w:textAlignment w:val="auto"/>
        <w:rPr>
          <w:b/>
          <w:color w:val="auto"/>
          <w:highlight w:val="none"/>
        </w:rPr>
      </w:pPr>
      <w:r>
        <w:rPr>
          <w:rFonts w:hint="eastAsia"/>
          <w:b/>
          <w:color w:val="auto"/>
          <w:highlight w:val="none"/>
        </w:rPr>
        <w:t>10.4磋商环节及提交最终报价后如出现以下情况的，供应商的响应文件无效：</w:t>
      </w:r>
    </w:p>
    <w:p w14:paraId="5C3BB3C3">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b/>
          <w:bCs/>
          <w:color w:val="auto"/>
          <w:highlight w:val="none"/>
        </w:rPr>
      </w:pPr>
      <w:r>
        <w:rPr>
          <w:rFonts w:hint="eastAsia" w:ascii="宋体" w:hAnsi="宋体"/>
          <w:b/>
          <w:bCs/>
          <w:color w:val="auto"/>
          <w:highlight w:val="none"/>
        </w:rPr>
        <w:t>（1）未按照磋商小组规定的时间、逾期提交最终报价的；</w:t>
      </w:r>
    </w:p>
    <w:p w14:paraId="3599F1E3">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b/>
          <w:bCs/>
          <w:color w:val="auto"/>
          <w:highlight w:val="none"/>
        </w:rPr>
      </w:pPr>
      <w:r>
        <w:rPr>
          <w:rFonts w:hint="eastAsia" w:ascii="宋体" w:hAnsi="宋体"/>
          <w:b/>
          <w:bCs/>
          <w:color w:val="auto"/>
          <w:highlight w:val="none"/>
        </w:rPr>
        <w:t>（2）如供应商的最终报价超过竞争性磋商文件中规定的项目/采购包预算金额或者项目/采购包最高限价的；</w:t>
      </w:r>
    </w:p>
    <w:p w14:paraId="34D2B072">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b/>
          <w:bCs/>
          <w:color w:val="auto"/>
          <w:highlight w:val="none"/>
        </w:rPr>
      </w:pPr>
      <w:r>
        <w:rPr>
          <w:rFonts w:hint="eastAsia" w:ascii="宋体" w:hAnsi="宋体"/>
          <w:b/>
          <w:bCs/>
          <w:color w:val="auto"/>
          <w:highlight w:val="none"/>
        </w:rPr>
        <w:t>（3）供应商未按照磋商文件的变动情况和磋商小组的要求，对采购需求中的技术、服务要求以及合同草案条款作出响应。</w:t>
      </w:r>
    </w:p>
    <w:p w14:paraId="287BEF9A">
      <w:pPr>
        <w:keepNext w:val="0"/>
        <w:keepLines w:val="0"/>
        <w:pageBreakBefore w:val="0"/>
        <w:widowControl w:val="0"/>
        <w:kinsoku/>
        <w:wordWrap/>
        <w:overflowPunct/>
        <w:topLinePunct w:val="0"/>
        <w:autoSpaceDE/>
        <w:autoSpaceDN/>
        <w:bidi w:val="0"/>
        <w:adjustRightInd/>
        <w:snapToGrid w:val="0"/>
        <w:spacing w:line="312" w:lineRule="auto"/>
        <w:jc w:val="left"/>
        <w:textAlignment w:val="auto"/>
        <w:rPr>
          <w:rFonts w:ascii="宋体" w:hAnsi="宋体"/>
          <w:b/>
          <w:color w:val="auto"/>
          <w:sz w:val="21"/>
          <w:szCs w:val="21"/>
          <w:highlight w:val="none"/>
        </w:rPr>
      </w:pPr>
      <w:r>
        <w:rPr>
          <w:rFonts w:hint="eastAsia" w:ascii="宋体" w:hAnsi="宋体"/>
          <w:b/>
          <w:color w:val="auto"/>
          <w:highlight w:val="none"/>
        </w:rPr>
        <w:t>10.5法律、法规规定的其他无效响应情形</w:t>
      </w:r>
      <w:r>
        <w:rPr>
          <w:rFonts w:hint="eastAsia" w:ascii="宋体" w:hAnsi="宋体"/>
          <w:b/>
          <w:color w:val="auto"/>
          <w:sz w:val="21"/>
          <w:szCs w:val="21"/>
          <w:highlight w:val="none"/>
        </w:rPr>
        <w:t>。</w:t>
      </w:r>
    </w:p>
    <w:p w14:paraId="2AD59BBE">
      <w:pPr>
        <w:pStyle w:val="85"/>
        <w:rPr>
          <w:color w:val="auto"/>
          <w:highlight w:val="none"/>
        </w:rPr>
      </w:pPr>
    </w:p>
    <w:p w14:paraId="46C06089">
      <w:pPr>
        <w:jc w:val="center"/>
        <w:rPr>
          <w:b/>
          <w:color w:val="auto"/>
          <w:sz w:val="32"/>
          <w:szCs w:val="32"/>
          <w:highlight w:val="none"/>
        </w:rPr>
        <w:sectPr>
          <w:footerReference r:id="rId5" w:type="default"/>
          <w:pgSz w:w="11906" w:h="16838"/>
          <w:pgMar w:top="1440" w:right="1531" w:bottom="1440" w:left="1531" w:header="851" w:footer="992" w:gutter="0"/>
          <w:cols w:space="1701" w:num="1"/>
          <w:docGrid w:linePitch="360" w:charSpace="0"/>
        </w:sectPr>
      </w:pPr>
      <w:bookmarkStart w:id="465" w:name="_Toc468783649"/>
    </w:p>
    <w:p w14:paraId="7FA21702">
      <w:pPr>
        <w:pStyle w:val="235"/>
        <w:keepNext w:val="0"/>
        <w:keepLines w:val="0"/>
        <w:pageBreakBefore w:val="0"/>
        <w:kinsoku/>
        <w:wordWrap/>
        <w:overflowPunct/>
        <w:topLinePunct w:val="0"/>
        <w:autoSpaceDE/>
        <w:autoSpaceDN/>
        <w:bidi w:val="0"/>
        <w:adjustRightInd/>
        <w:snapToGrid w:val="0"/>
        <w:spacing w:before="0" w:beforeAutospacing="0" w:after="0" w:afterAutospacing="0" w:line="312" w:lineRule="auto"/>
        <w:jc w:val="center"/>
        <w:textAlignment w:val="auto"/>
        <w:rPr>
          <w:rFonts w:eastAsia="宋体"/>
          <w:bCs/>
          <w:color w:val="auto"/>
          <w:sz w:val="32"/>
          <w:szCs w:val="32"/>
          <w:highlight w:val="none"/>
        </w:rPr>
      </w:pPr>
      <w:bookmarkStart w:id="466" w:name="_Toc7552"/>
      <w:bookmarkStart w:id="467" w:name="_Toc29020"/>
      <w:r>
        <w:rPr>
          <w:rFonts w:hint="eastAsia" w:eastAsia="宋体"/>
          <w:bCs/>
          <w:color w:val="auto"/>
          <w:sz w:val="32"/>
          <w:szCs w:val="32"/>
          <w:highlight w:val="none"/>
        </w:rPr>
        <w:t>第四章</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65"/>
      <w:bookmarkStart w:id="468" w:name="_Toc49090575"/>
      <w:bookmarkStart w:id="469" w:name="_Toc288030358"/>
      <w:bookmarkStart w:id="470" w:name="_Toc26554093"/>
      <w:bookmarkStart w:id="471" w:name="_Toc282446330"/>
      <w:bookmarkStart w:id="472" w:name="_Toc120614281"/>
      <w:bookmarkStart w:id="473" w:name="_Toc390246997"/>
      <w:bookmarkStart w:id="474" w:name="_Toc383587528"/>
      <w:bookmarkStart w:id="475" w:name="_Toc390099110"/>
      <w:bookmarkStart w:id="476" w:name="_Toc426469931"/>
      <w:bookmarkStart w:id="477" w:name="_Toc382813956"/>
      <w:bookmarkStart w:id="478" w:name="_Toc390098914"/>
      <w:bookmarkStart w:id="479" w:name="_Toc382812506"/>
      <w:bookmarkStart w:id="480" w:name="_Toc383626068"/>
      <w:bookmarkStart w:id="481" w:name="_Toc383679821"/>
      <w:bookmarkStart w:id="482" w:name="_Toc383623748"/>
      <w:bookmarkStart w:id="483" w:name="_Toc468783656"/>
      <w:bookmarkStart w:id="484" w:name="_Toc382814037"/>
      <w:bookmarkStart w:id="485" w:name="_Toc383624020"/>
      <w:bookmarkStart w:id="486" w:name="_Toc383698721"/>
      <w:bookmarkStart w:id="487" w:name="_Toc462564139"/>
      <w:bookmarkStart w:id="488" w:name="_Toc479757211"/>
      <w:r>
        <w:rPr>
          <w:rFonts w:hint="eastAsia" w:eastAsia="宋体"/>
          <w:bCs/>
          <w:color w:val="auto"/>
          <w:sz w:val="32"/>
          <w:szCs w:val="32"/>
          <w:highlight w:val="none"/>
        </w:rPr>
        <w:t xml:space="preserve">  技术标准和要求</w:t>
      </w:r>
      <w:bookmarkEnd w:id="466"/>
      <w:bookmarkEnd w:id="467"/>
    </w:p>
    <w:p w14:paraId="7643AEBD">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textAlignment w:val="auto"/>
        <w:rPr>
          <w:rFonts w:ascii="宋体" w:hAnsi="宋体" w:cs="宋体"/>
          <w:b/>
          <w:color w:val="auto"/>
          <w:highlight w:val="none"/>
        </w:rPr>
      </w:pPr>
      <w:r>
        <w:rPr>
          <w:rFonts w:hint="eastAsia" w:ascii="宋体" w:hAnsi="宋体" w:cs="宋体"/>
          <w:b/>
          <w:color w:val="auto"/>
          <w:highlight w:val="none"/>
        </w:rPr>
        <w:t>1工程概况</w:t>
      </w:r>
    </w:p>
    <w:p w14:paraId="5B581A61">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hint="eastAsia" w:ascii="宋体" w:hAnsi="宋体"/>
          <w:color w:val="auto"/>
          <w:sz w:val="24"/>
          <w:highlight w:val="none"/>
          <w:lang w:val="en-US" w:eastAsia="zh-CN"/>
        </w:rPr>
      </w:pPr>
      <w:r>
        <w:rPr>
          <w:rFonts w:hint="eastAsia" w:ascii="宋体" w:hAnsi="宋体" w:cs="宋体"/>
          <w:bCs/>
          <w:color w:val="auto"/>
          <w:highlight w:val="none"/>
        </w:rPr>
        <w:t>1.1建设地点：位于</w:t>
      </w:r>
      <w:r>
        <w:rPr>
          <w:rFonts w:hint="eastAsia" w:ascii="宋体" w:hAnsi="宋体" w:cs="宋体"/>
          <w:bCs/>
          <w:color w:val="auto"/>
          <w:highlight w:val="none"/>
          <w:lang w:val="en-US" w:eastAsia="zh-CN"/>
        </w:rPr>
        <w:t>泰兴市滨江镇</w:t>
      </w:r>
      <w:r>
        <w:rPr>
          <w:rFonts w:hint="eastAsia" w:ascii="宋体" w:hAnsi="宋体"/>
          <w:color w:val="auto"/>
          <w:sz w:val="24"/>
          <w:highlight w:val="none"/>
          <w:lang w:val="en-US" w:eastAsia="zh-CN"/>
        </w:rPr>
        <w:t>印桥社区</w:t>
      </w:r>
    </w:p>
    <w:p w14:paraId="4D40EA0C">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bCs/>
          <w:color w:val="auto"/>
          <w:highlight w:val="none"/>
        </w:rPr>
      </w:pPr>
      <w:r>
        <w:rPr>
          <w:rFonts w:hint="eastAsia" w:ascii="宋体" w:hAnsi="宋体" w:cs="宋体"/>
          <w:bCs/>
          <w:color w:val="auto"/>
          <w:highlight w:val="none"/>
        </w:rPr>
        <w:t>1.2现场条件及周边环境情况：供应商自行踏勘。</w:t>
      </w:r>
    </w:p>
    <w:p w14:paraId="0A68261D">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bCs/>
          <w:color w:val="auto"/>
          <w:highlight w:val="none"/>
        </w:rPr>
      </w:pPr>
      <w:r>
        <w:rPr>
          <w:rFonts w:hint="eastAsia" w:ascii="宋体" w:hAnsi="宋体" w:cs="宋体"/>
          <w:bCs/>
          <w:color w:val="auto"/>
          <w:highlight w:val="none"/>
        </w:rPr>
        <w:t>1.3建设内容：</w:t>
      </w:r>
      <w:r>
        <w:rPr>
          <w:rFonts w:hint="eastAsia"/>
          <w:color w:val="auto"/>
          <w:highlight w:val="none"/>
        </w:rPr>
        <w:t>清单中注明的</w:t>
      </w:r>
      <w:r>
        <w:rPr>
          <w:rFonts w:hint="eastAsia"/>
          <w:color w:val="auto"/>
          <w:highlight w:val="none"/>
          <w:lang w:val="en-US" w:eastAsia="zh-CN"/>
        </w:rPr>
        <w:t>印桥社区雨水支管更换</w:t>
      </w:r>
      <w:r>
        <w:rPr>
          <w:rFonts w:hint="eastAsia"/>
          <w:color w:val="auto"/>
          <w:highlight w:val="none"/>
          <w:lang w:eastAsia="zh-CN"/>
        </w:rPr>
        <w:t>工程</w:t>
      </w:r>
      <w:r>
        <w:rPr>
          <w:rFonts w:hint="eastAsia"/>
          <w:color w:val="auto"/>
          <w:highlight w:val="none"/>
        </w:rPr>
        <w:t>施工</w:t>
      </w:r>
      <w:r>
        <w:rPr>
          <w:rFonts w:hint="eastAsia" w:ascii="宋体" w:hAnsi="宋体" w:cs="宋体"/>
          <w:bCs/>
          <w:color w:val="auto"/>
          <w:highlight w:val="none"/>
        </w:rPr>
        <w:t>。</w:t>
      </w:r>
    </w:p>
    <w:p w14:paraId="2F831A13">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textAlignment w:val="auto"/>
        <w:rPr>
          <w:rFonts w:ascii="宋体" w:hAnsi="宋体" w:cs="宋体"/>
          <w:b/>
          <w:color w:val="auto"/>
          <w:highlight w:val="none"/>
        </w:rPr>
      </w:pPr>
      <w:r>
        <w:rPr>
          <w:rFonts w:hint="eastAsia" w:ascii="宋体" w:hAnsi="宋体" w:cs="宋体"/>
          <w:b/>
          <w:color w:val="auto"/>
          <w:highlight w:val="none"/>
        </w:rPr>
        <w:t>2工程量清单说明（具体内容详见招标控制价清单及编制说明）</w:t>
      </w:r>
    </w:p>
    <w:p w14:paraId="0937A2C6">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bCs/>
          <w:color w:val="auto"/>
          <w:highlight w:val="none"/>
        </w:rPr>
      </w:pPr>
      <w:r>
        <w:rPr>
          <w:rFonts w:hint="eastAsia" w:ascii="宋体" w:hAnsi="宋体" w:cs="宋体"/>
          <w:bCs/>
          <w:color w:val="auto"/>
          <w:highlight w:val="none"/>
        </w:rPr>
        <w:t>2.1本工程量清单应与竞争性磋商文件、通用合同条款、专用合同条款等章节内容及图纸（如有）一起阅读和理解，相关资料请各供应商从江苏省政府采购网自行下载。</w:t>
      </w:r>
    </w:p>
    <w:p w14:paraId="08A81BE8">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bCs/>
          <w:color w:val="auto"/>
          <w:highlight w:val="none"/>
        </w:rPr>
      </w:pPr>
      <w:r>
        <w:rPr>
          <w:rFonts w:hint="eastAsia" w:ascii="宋体" w:hAnsi="宋体" w:cs="宋体"/>
          <w:bCs/>
          <w:color w:val="auto"/>
          <w:highlight w:val="none"/>
        </w:rPr>
        <w:t>2.2本工程量清单仅是投标报价的共同基础，竣工结算的工程量按合同约定确定。合同价格的确定以及价款支付应遵循合同条款（包括通用合同条款和专用合同条款）以及竞争性磋商文件的有关约定。</w:t>
      </w:r>
    </w:p>
    <w:p w14:paraId="7C326C20">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textAlignment w:val="auto"/>
        <w:rPr>
          <w:rFonts w:ascii="宋体" w:hAnsi="宋体" w:cs="宋体"/>
          <w:b/>
          <w:color w:val="auto"/>
          <w:highlight w:val="none"/>
        </w:rPr>
      </w:pPr>
      <w:r>
        <w:rPr>
          <w:rFonts w:hint="eastAsia" w:ascii="宋体" w:hAnsi="宋体" w:cs="宋体"/>
          <w:b/>
          <w:color w:val="auto"/>
          <w:highlight w:val="none"/>
        </w:rPr>
        <w:t>3投标报价说明</w:t>
      </w:r>
    </w:p>
    <w:p w14:paraId="00D8BA85">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bCs/>
          <w:color w:val="auto"/>
          <w:highlight w:val="none"/>
        </w:rPr>
      </w:pPr>
      <w:r>
        <w:rPr>
          <w:rFonts w:hint="eastAsia" w:ascii="宋体" w:hAnsi="宋体" w:cs="宋体"/>
          <w:bCs/>
          <w:color w:val="auto"/>
          <w:highlight w:val="none"/>
        </w:rPr>
        <w:t xml:space="preserve">  供应商无需编制工程量清单报价文件，按照预算价下浮报总价，结算时各单价直接将预算价按照成交下浮率（特指实际下浮率，安全文明措施费、暂列金额、专业工程暂估价等不可竞争费用不下浮）同步下浮执行。结算时以审计后的实际工程量为准，按实结算。</w:t>
      </w:r>
    </w:p>
    <w:p w14:paraId="5618134A">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textAlignment w:val="auto"/>
        <w:rPr>
          <w:rFonts w:ascii="宋体" w:hAnsi="宋体" w:cs="宋体"/>
          <w:b/>
          <w:color w:val="auto"/>
          <w:highlight w:val="none"/>
        </w:rPr>
      </w:pPr>
      <w:r>
        <w:rPr>
          <w:rFonts w:hint="eastAsia" w:ascii="宋体" w:hAnsi="宋体" w:cs="宋体"/>
          <w:b/>
          <w:color w:val="auto"/>
          <w:highlight w:val="none"/>
        </w:rPr>
        <w:t>4其他说明</w:t>
      </w:r>
    </w:p>
    <w:p w14:paraId="03EEAD3F">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4.1本工程质量要求：合格。本工程施工必须符合国家相关规范要求，确保通过验收。</w:t>
      </w:r>
    </w:p>
    <w:p w14:paraId="13CAD664">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2" w:firstLineChars="200"/>
        <w:textAlignment w:val="auto"/>
        <w:rPr>
          <w:rFonts w:ascii="宋体" w:hAnsi="宋体" w:cs="宋体"/>
          <w:b/>
          <w:bCs/>
          <w:color w:val="auto"/>
          <w:highlight w:val="none"/>
        </w:rPr>
      </w:pPr>
      <w:r>
        <w:rPr>
          <w:rFonts w:hint="eastAsia" w:ascii="宋体" w:hAnsi="宋体" w:cs="宋体"/>
          <w:b/>
          <w:bCs/>
          <w:color w:val="auto"/>
          <w:highlight w:val="none"/>
        </w:rPr>
        <w:t>4.2项目实施中，出现与地方行政主管部门、地方管理部门、居民有关的矛盾由</w:t>
      </w:r>
      <w:r>
        <w:rPr>
          <w:rFonts w:hint="eastAsia" w:ascii="宋体" w:hAnsi="宋体" w:cs="宋体"/>
          <w:b/>
          <w:bCs/>
          <w:color w:val="auto"/>
          <w:highlight w:val="none"/>
          <w:lang w:val="en-US" w:eastAsia="zh-CN"/>
        </w:rPr>
        <w:t>供应方</w:t>
      </w:r>
      <w:r>
        <w:rPr>
          <w:rFonts w:hint="eastAsia" w:ascii="宋体" w:hAnsi="宋体" w:cs="宋体"/>
          <w:b/>
          <w:bCs/>
          <w:color w:val="auto"/>
          <w:highlight w:val="none"/>
        </w:rPr>
        <w:t>自行解决，产生的任何费用由供应商在投标报价时自行考虑；</w:t>
      </w:r>
    </w:p>
    <w:p w14:paraId="7B94FD3C">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2" w:firstLineChars="200"/>
        <w:textAlignment w:val="auto"/>
        <w:rPr>
          <w:rFonts w:ascii="宋体" w:hAnsi="宋体" w:cs="宋体"/>
          <w:b/>
          <w:bCs/>
          <w:color w:val="auto"/>
          <w:highlight w:val="none"/>
        </w:rPr>
      </w:pPr>
      <w:r>
        <w:rPr>
          <w:rFonts w:hint="eastAsia" w:ascii="宋体" w:hAnsi="宋体" w:cs="宋体"/>
          <w:b/>
          <w:bCs/>
          <w:color w:val="auto"/>
          <w:highlight w:val="none"/>
        </w:rPr>
        <w:t>4.3施工过程中不得污染周边环境（绿化、道路等），不得对周边环境造成影响，不得因施工损坏现状，否则一切责任由供应方承担，由此造成的一切损失由成交人承担。</w:t>
      </w:r>
    </w:p>
    <w:p w14:paraId="6BBDE95D">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4.4安全生产</w:t>
      </w:r>
    </w:p>
    <w:p w14:paraId="264C2114">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4.4.1施工现场内及周边须设置临时施工围挡、防护设施、临时警示标牌标志、警示灯、夜间照明、夜间交通指示灯（夜间必须正常显示）以及施工现场内、外的临时交通安全设施等，相关费用已包含在投标报价中。</w:t>
      </w:r>
    </w:p>
    <w:p w14:paraId="69C6815A">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4.4.2交通安全设施的设置方案须符合交警、城管部门、采购方的要求，施工车辆进出场地必须减速慢行，出入口必须有专人看护，确保出入口的交通安全。</w:t>
      </w:r>
    </w:p>
    <w:p w14:paraId="5959FA5F">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4.5供应方须做好现场环境保护，做好防尘、降噪等措施，费用已包含在投标报价中。</w:t>
      </w:r>
    </w:p>
    <w:p w14:paraId="09A1D902">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4.6施工排水（渗水、居民用水、雨水等）均包含在报价中，由施工单位响应时综合考虑。</w:t>
      </w:r>
    </w:p>
    <w:p w14:paraId="06AAF7BB">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hint="eastAsia" w:ascii="宋体" w:hAnsi="宋体" w:eastAsia="宋体" w:cs="宋体"/>
          <w:color w:val="auto"/>
          <w:highlight w:val="none"/>
          <w:lang w:eastAsia="zh-CN"/>
        </w:rPr>
      </w:pPr>
      <w:r>
        <w:rPr>
          <w:rFonts w:hint="eastAsia" w:ascii="宋体" w:hAnsi="宋体" w:cs="宋体"/>
          <w:color w:val="auto"/>
          <w:highlight w:val="none"/>
        </w:rPr>
        <w:t>4.7供应方搭建的临时设施和材料堆场必须服从采购方和监理单位的统一安排。</w:t>
      </w:r>
      <w:r>
        <w:rPr>
          <w:rFonts w:hint="eastAsia" w:ascii="宋体" w:hAnsi="宋体" w:cs="宋体"/>
          <w:color w:val="auto"/>
          <w:highlight w:val="none"/>
          <w:lang w:eastAsia="zh-CN"/>
        </w:rPr>
        <w:t>若因临时设施或材料堆放问题引发安全事故或影响施工进度，责任由供应方承担。</w:t>
      </w:r>
    </w:p>
    <w:p w14:paraId="1FC27A9D">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4.8在国家规定的工程合理使用期限内，供应方确保该项目工程的质量。因供应方原因致使工程在合理使用期限内造成人身和财产损害的，供应方应承担损害赔偿责任。</w:t>
      </w:r>
    </w:p>
    <w:p w14:paraId="490C7755">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4.9发生须紧急抢修事故，供应方接到事故通知后，应立即到达事故现场抢修。</w:t>
      </w:r>
    </w:p>
    <w:p w14:paraId="3B3BF2A6">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4.10本工程在施工中执行现行的国家、省级及工程所在地颁发的环保、节能、电器安装、防雷、安全、消防等有关规定。</w:t>
      </w:r>
    </w:p>
    <w:p w14:paraId="1A96B93E">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hint="eastAsia" w:ascii="宋体" w:hAnsi="宋体" w:cs="宋体"/>
          <w:color w:val="auto"/>
          <w:highlight w:val="none"/>
        </w:rPr>
      </w:pPr>
      <w:r>
        <w:rPr>
          <w:rFonts w:hint="eastAsia" w:ascii="宋体" w:hAnsi="宋体" w:cs="宋体"/>
          <w:color w:val="auto"/>
          <w:highlight w:val="none"/>
        </w:rPr>
        <w:t>4.11供应方要对施工人员进行上岗安全培训和安全交底工作，做到规范施工，对整个工程的安全负全责，并承担因供应方安全措施不力造成事故的责任和因此发生的费用。在工程验收前应向采购方提供采购工程的一套完整的安全资料。本工程供应方应遵守工程建设安全生产有关管理规定，严格按安全标准组织施工，并随时接受行业安全检查人员依法实施的监督检查，采取必要的安全防护措施，消除安全隐患。供应方必须成立项目安全管理小组，所有工程施工过程均必须有专职安全管理人员在施工现场，实施安全监督。</w:t>
      </w:r>
    </w:p>
    <w:p w14:paraId="27A515CC">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sz w:val="22"/>
          <w:szCs w:val="22"/>
          <w:highlight w:val="none"/>
        </w:rPr>
      </w:pPr>
      <w:r>
        <w:rPr>
          <w:rFonts w:hint="eastAsia" w:ascii="宋体" w:hAnsi="宋体" w:cs="宋体"/>
          <w:color w:val="auto"/>
          <w:highlight w:val="none"/>
        </w:rPr>
        <w:t>4.12供应方不得借资质投标，不得挂靠有资质的单位参加投标，供应方不得将工程转包或者分包。采购方发现供应方有上述情况，将终止施工合同，责令成交人立即退场，因此造成的一切损失均由供应方承担，</w:t>
      </w:r>
      <w:r>
        <w:rPr>
          <w:rFonts w:hint="eastAsia" w:ascii="宋体" w:hAnsi="宋体" w:cs="宋体"/>
          <w:color w:val="auto"/>
          <w:sz w:val="22"/>
          <w:szCs w:val="22"/>
          <w:highlight w:val="none"/>
        </w:rPr>
        <w:t>并保留进一步追究其责任的权利，直至建议有关部门吊销资质证书。</w:t>
      </w:r>
    </w:p>
    <w:p w14:paraId="22EE8DF7">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4.13供应方必须及时支付材料设备供应商的合同款，供应方必须按国家规定及时支付工人工资，采购方将对供应方支付工人工资履行情况进行监督。采购方有权使用履约保证金支付拖欠的工人工资。如因供应方未能及时发放农民工工资引发农民工群体性上访事件，每发生一次群体性上访事件扣罚成交人5万元，由供应方承担由此产生的一切后果。</w:t>
      </w:r>
    </w:p>
    <w:p w14:paraId="6B78D9E2">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4.14供应方必须根据采购方的要求在采购方规定的时间内拆除临时设施、施工机械及其基础，并将其垃圾运离施工现场，所发生的费用由供应方承担，清理完成后供应方须报监理、采购人验收确认；施工场地外围5米范围内必须与施工场地内一样整洁、干净、文明施工；若采购方安排人员完成上述工作，所发生的费用将双倍从工程款中扣除。</w:t>
      </w:r>
    </w:p>
    <w:p w14:paraId="2B3050F1">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4.15采购方有权进行变更、对工程量进行增加、调减，这均属于合同范围，供应方应及时按变更进行施工，不得以任何理由拒绝。变更（或通知书）经总监理工程师和建设单位工程师共同确认转交给供应方，供应方才能按变更（或通知书）进行施工。</w:t>
      </w:r>
    </w:p>
    <w:p w14:paraId="25BF9578">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4.16供应方应自行处理好材料供应、设备供应等矛盾，如引起施工中断，中断期间不计取任何费用，该风险由供应商在投标报价时自行考虑。供应方须加强对场地周边城市、公建配套管网的保护，如发生破坏，由供应方负责赔偿，并承担全部责任。</w:t>
      </w:r>
    </w:p>
    <w:p w14:paraId="3946D70C">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4.17供应商必须认真踏勘现场，考虑行人、行车干扰，相关费用已包含在供应商投标报价中。</w:t>
      </w:r>
    </w:p>
    <w:p w14:paraId="7453F21A">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4.18工程使用的所有材料、设备必须经建设单位认可后方可进场使用，如不经采购方和监理单位认可，供应方擅自进场使用的，采购方有权拒付该部分款项同时有权对供应方处违约金1万元的处罚并终止合同，同时供应方还须赔偿建设单位实际损失。</w:t>
      </w:r>
    </w:p>
    <w:p w14:paraId="2F29EC52">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4.19本工程发生工程变更或产生签证引起工程造价增减的，最终价格以“工程竣工结算核对并经采购方、供应方双方确认签字”的文件为准。</w:t>
      </w:r>
    </w:p>
    <w:p w14:paraId="047D4D66">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4.20在工程施工过程中，若有新规范、新工艺、新材料推广应用的，采购方有权进行变更，变更发生后价格结算时按相关定额执行，有关材料设备有信息指导价的，按工程结算费率同比例计算；没有信息指导价的按认质认价方式定价，纳入结算总价。</w:t>
      </w:r>
    </w:p>
    <w:p w14:paraId="6C2ADFEF">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4.21供应商要充分了解项目情况，对招标控制价（或</w:t>
      </w:r>
      <w:r>
        <w:rPr>
          <w:rFonts w:hint="eastAsia" w:ascii="宋体" w:hAnsi="宋体" w:cs="宋体"/>
          <w:bCs/>
          <w:color w:val="auto"/>
          <w:highlight w:val="none"/>
        </w:rPr>
        <w:t>最高限价</w:t>
      </w:r>
      <w:r>
        <w:rPr>
          <w:rFonts w:hint="eastAsia" w:ascii="宋体" w:hAnsi="宋体" w:cs="宋体"/>
          <w:color w:val="auto"/>
          <w:highlight w:val="none"/>
        </w:rPr>
        <w:t>）如有异议，供应商需按竞争性磋商文件约定的时间提出异议，如供应商在磋商响应期间无异议，那供应商成交后不得再以任何理由向采购人提出任何费用。</w:t>
      </w:r>
    </w:p>
    <w:p w14:paraId="750B4CFA">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4.22农民工工资支付及担保按照国家、省市相关规定执行。</w:t>
      </w:r>
    </w:p>
    <w:p w14:paraId="58F9DAEC">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4.23供应方须重点考虑可能影响项目进度、安全、质量的各种因素，须全面服从采购方对于项目管理提出的各项要求。供应方须严格落实安全防护措施，供应方安全防护设施不到位或出现相关文件（如安全生产的相关法律、法规，建设工程的相关安全规范等）规定须暂停施工的情形，监理人有权立即责令供应方停止施工，要求供应方进行整改，供应方整改满足相关文件（如安全生产的相关法律、法规，建设工程的相关安全规范等）要求且得到采购方和监理人批准后方可恢复施工。</w:t>
      </w:r>
    </w:p>
    <w:p w14:paraId="6FE76C36">
      <w:pPr>
        <w:keepNext w:val="0"/>
        <w:keepLines w:val="0"/>
        <w:pageBreakBefore w:val="0"/>
        <w:widowControl w:val="0"/>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hint="eastAsia" w:ascii="宋体" w:hAnsi="宋体" w:cs="宋体"/>
          <w:color w:val="auto"/>
          <w:highlight w:val="none"/>
        </w:rPr>
      </w:pPr>
      <w:r>
        <w:rPr>
          <w:rFonts w:hint="eastAsia" w:ascii="宋体" w:hAnsi="宋体" w:cs="宋体"/>
          <w:color w:val="auto"/>
          <w:highlight w:val="none"/>
        </w:rPr>
        <w:t>4.24项目实施过程中，除不可抗力，项目部组成人员不得变更。采购人、行政主管部门将会加大本工程施工项目部组成人员到岗情况巡查频率和力度。对成交后施工单位项目部组成人员不到岗履职、履职不到位等不良行为，经核实后行政主管部门将依法作出相关处罚。</w:t>
      </w:r>
    </w:p>
    <w:p w14:paraId="7A77A912">
      <w:pPr>
        <w:keepNext w:val="0"/>
        <w:keepLines w:val="0"/>
        <w:pageBreakBefore w:val="0"/>
        <w:widowControl w:val="0"/>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hint="eastAsia" w:ascii="宋体" w:hAnsi="宋体" w:eastAsia="宋体" w:cs="宋体"/>
          <w:b w:val="0"/>
          <w:bCs w:val="0"/>
          <w:color w:val="auto"/>
          <w:sz w:val="24"/>
          <w:szCs w:val="24"/>
          <w:highlight w:val="none"/>
          <w:u w:val="single"/>
          <w:lang w:val="en-US" w:eastAsia="zh-CN" w:bidi="ar-SA"/>
        </w:rPr>
      </w:pPr>
      <w:r>
        <w:rPr>
          <w:rFonts w:hint="eastAsia" w:ascii="宋体" w:hAnsi="宋体" w:cs="宋体"/>
          <w:color w:val="auto"/>
          <w:highlight w:val="none"/>
          <w:lang w:val="en-US" w:eastAsia="zh-CN"/>
        </w:rPr>
        <w:t>4.25</w:t>
      </w:r>
      <w:r>
        <w:rPr>
          <w:rFonts w:hint="eastAsia" w:ascii="宋体" w:hAnsi="宋体" w:eastAsia="宋体" w:cs="宋体"/>
          <w:b w:val="0"/>
          <w:bCs w:val="0"/>
          <w:color w:val="auto"/>
          <w:sz w:val="24"/>
          <w:szCs w:val="24"/>
          <w:highlight w:val="none"/>
          <w:lang w:val="en-US" w:eastAsia="zh-CN" w:bidi="ar-SA"/>
        </w:rPr>
        <w:t>关于项目经理每月在施工现场的时间要求：</w:t>
      </w:r>
      <w:r>
        <w:rPr>
          <w:rFonts w:hint="eastAsia" w:ascii="宋体" w:hAnsi="宋体" w:eastAsia="宋体" w:cs="宋体"/>
          <w:b w:val="0"/>
          <w:bCs w:val="0"/>
          <w:color w:val="auto"/>
          <w:sz w:val="24"/>
          <w:szCs w:val="24"/>
          <w:highlight w:val="none"/>
          <w:u w:val="single"/>
          <w:lang w:val="en-US" w:eastAsia="zh-CN" w:bidi="ar-SA"/>
        </w:rPr>
        <w:t>驻场施工。</w:t>
      </w:r>
    </w:p>
    <w:p w14:paraId="35BED989">
      <w:pPr>
        <w:keepNext w:val="0"/>
        <w:keepLines w:val="0"/>
        <w:pageBreakBefore w:val="0"/>
        <w:widowControl w:val="0"/>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hint="eastAsia" w:ascii="宋体" w:hAnsi="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项目经理未经批准，擅自离开施工现场的违约责任：发包人抽查发现不在现场承包人支付2000元/次的违约金，同时，因项目经理擅自离岗给工程造成损失的，承包人需承担全部赔偿责任</w:t>
      </w:r>
      <w:r>
        <w:rPr>
          <w:rFonts w:hint="eastAsia" w:ascii="宋体" w:hAnsi="宋体" w:cs="宋体"/>
          <w:b w:val="0"/>
          <w:bCs w:val="0"/>
          <w:color w:val="auto"/>
          <w:sz w:val="24"/>
          <w:szCs w:val="24"/>
          <w:highlight w:val="none"/>
          <w:lang w:val="en-US" w:eastAsia="zh-CN" w:bidi="ar-SA"/>
        </w:rPr>
        <w:t>。</w:t>
      </w:r>
    </w:p>
    <w:p w14:paraId="44101C92">
      <w:pPr>
        <w:keepNext w:val="0"/>
        <w:keepLines w:val="0"/>
        <w:pageBreakBefore w:val="0"/>
        <w:widowControl w:val="0"/>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4.2</w:t>
      </w:r>
      <w:r>
        <w:rPr>
          <w:rFonts w:hint="eastAsia" w:ascii="宋体" w:hAnsi="宋体" w:cs="宋体"/>
          <w:b w:val="0"/>
          <w:bCs w:val="0"/>
          <w:color w:val="auto"/>
          <w:sz w:val="24"/>
          <w:szCs w:val="24"/>
          <w:highlight w:val="none"/>
          <w:lang w:val="en-US" w:eastAsia="zh-CN" w:bidi="ar-SA"/>
        </w:rPr>
        <w:t>6</w:t>
      </w:r>
      <w:r>
        <w:rPr>
          <w:rFonts w:hint="eastAsia" w:ascii="宋体" w:hAnsi="宋体" w:eastAsia="宋体" w:cs="宋体"/>
          <w:b w:val="0"/>
          <w:bCs w:val="0"/>
          <w:color w:val="auto"/>
          <w:sz w:val="24"/>
          <w:szCs w:val="24"/>
          <w:highlight w:val="none"/>
          <w:lang w:val="en-US" w:eastAsia="zh-CN" w:bidi="ar-SA"/>
        </w:rPr>
        <w:t>采购人不组织踏勘现场，供应商应对照施工要求</w:t>
      </w:r>
    </w:p>
    <w:p w14:paraId="78B9853F">
      <w:pPr>
        <w:keepNext w:val="0"/>
        <w:keepLines w:val="0"/>
        <w:pageBreakBefore w:val="0"/>
        <w:widowControl w:val="0"/>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自行踏勘现场，充分了解本工程的施工现场条件及本工程的施工难度，根据现场情况及自身的施工方法自主报价，现场可能涉及的零星工程施工由供应商自行考虑在报价中。</w:t>
      </w:r>
    </w:p>
    <w:p w14:paraId="738F8946">
      <w:pPr>
        <w:keepNext w:val="0"/>
        <w:keepLines w:val="0"/>
        <w:pageBreakBefore w:val="0"/>
        <w:widowControl w:val="0"/>
        <w:kinsoku/>
        <w:wordWrap/>
        <w:overflowPunct/>
        <w:topLinePunct w:val="0"/>
        <w:autoSpaceDE/>
        <w:autoSpaceDN/>
        <w:bidi w:val="0"/>
        <w:adjustRightInd w:val="0"/>
        <w:snapToGrid w:val="0"/>
        <w:spacing w:beforeAutospacing="0" w:afterAutospacing="0" w:line="312" w:lineRule="auto"/>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5</w:t>
      </w:r>
      <w:r>
        <w:rPr>
          <w:rFonts w:hint="eastAsia" w:ascii="宋体" w:hAnsi="宋体" w:cs="宋体"/>
          <w:b w:val="0"/>
          <w:bCs w:val="0"/>
          <w:color w:val="auto"/>
          <w:sz w:val="24"/>
          <w:szCs w:val="24"/>
          <w:highlight w:val="none"/>
          <w:lang w:val="en-US" w:eastAsia="zh-CN" w:bidi="ar-SA"/>
        </w:rPr>
        <w:t>.</w:t>
      </w:r>
      <w:r>
        <w:rPr>
          <w:rFonts w:hint="eastAsia" w:ascii="宋体" w:hAnsi="宋体" w:eastAsia="宋体" w:cs="宋体"/>
          <w:b w:val="0"/>
          <w:bCs w:val="0"/>
          <w:color w:val="auto"/>
          <w:sz w:val="24"/>
          <w:szCs w:val="24"/>
          <w:highlight w:val="none"/>
          <w:lang w:val="en-US" w:eastAsia="zh-CN" w:bidi="ar-SA"/>
        </w:rPr>
        <w:t>商务要求</w:t>
      </w:r>
    </w:p>
    <w:p w14:paraId="76A29BE2">
      <w:pPr>
        <w:keepNext w:val="0"/>
        <w:keepLines w:val="0"/>
        <w:pageBreakBefore w:val="0"/>
        <w:widowControl w:val="0"/>
        <w:kinsoku/>
        <w:wordWrap/>
        <w:overflowPunct/>
        <w:topLinePunct w:val="0"/>
        <w:autoSpaceDE/>
        <w:autoSpaceDN/>
        <w:bidi w:val="0"/>
        <w:adjustRightInd w:val="0"/>
        <w:snapToGrid w:val="0"/>
        <w:spacing w:beforeAutospacing="0" w:afterAutospacing="0" w:line="312" w:lineRule="auto"/>
        <w:ind w:firstLine="482" w:firstLineChars="200"/>
        <w:textAlignment w:val="auto"/>
        <w:rPr>
          <w:rFonts w:ascii="宋体" w:hAnsi="宋体" w:cs="宋体"/>
          <w:b/>
          <w:bCs/>
          <w:color w:val="0000FF"/>
          <w:highlight w:val="none"/>
        </w:rPr>
      </w:pPr>
      <w:r>
        <w:rPr>
          <w:rFonts w:hint="eastAsia" w:ascii="宋体" w:hAnsi="宋体" w:cs="宋体"/>
          <w:b/>
          <w:bCs/>
          <w:color w:val="0000FF"/>
          <w:highlight w:val="none"/>
        </w:rPr>
        <w:t>5.1工期要求：</w:t>
      </w:r>
      <w:r>
        <w:rPr>
          <w:rFonts w:hint="eastAsia" w:ascii="宋体" w:hAnsi="宋体" w:cs="宋体"/>
          <w:b/>
          <w:bCs/>
          <w:color w:val="0000FF"/>
          <w:highlight w:val="none"/>
          <w:lang w:val="en-US" w:eastAsia="zh-CN"/>
        </w:rPr>
        <w:t>90</w:t>
      </w:r>
      <w:r>
        <w:rPr>
          <w:rFonts w:hint="eastAsia" w:ascii="宋体" w:hAnsi="宋体" w:cs="宋体"/>
          <w:b/>
          <w:bCs/>
          <w:color w:val="0000FF"/>
          <w:highlight w:val="none"/>
          <w:lang w:eastAsia="zh-CN"/>
        </w:rPr>
        <w:t>日历天</w:t>
      </w:r>
      <w:r>
        <w:rPr>
          <w:rFonts w:hint="eastAsia" w:ascii="宋体" w:hAnsi="宋体" w:cs="宋体"/>
          <w:b/>
          <w:bCs/>
          <w:color w:val="0000FF"/>
          <w:highlight w:val="none"/>
        </w:rPr>
        <w:t>。</w:t>
      </w:r>
    </w:p>
    <w:p w14:paraId="4C0D6957">
      <w:pPr>
        <w:keepNext w:val="0"/>
        <w:keepLines w:val="0"/>
        <w:pageBreakBefore w:val="0"/>
        <w:widowControl w:val="0"/>
        <w:kinsoku/>
        <w:wordWrap/>
        <w:overflowPunct/>
        <w:topLinePunct w:val="0"/>
        <w:autoSpaceDE/>
        <w:autoSpaceDN/>
        <w:bidi w:val="0"/>
        <w:adjustRightInd w:val="0"/>
        <w:snapToGrid w:val="0"/>
        <w:spacing w:beforeAutospacing="0" w:afterAutospacing="0" w:line="312" w:lineRule="auto"/>
        <w:ind w:firstLine="482" w:firstLineChars="200"/>
        <w:jc w:val="left"/>
        <w:textAlignment w:val="auto"/>
        <w:rPr>
          <w:rFonts w:hint="eastAsia" w:ascii="宋体" w:hAnsi="宋体" w:cs="宋体"/>
          <w:b/>
          <w:bCs/>
          <w:color w:val="0000FF"/>
          <w:highlight w:val="none"/>
          <w:lang w:eastAsia="zh-CN"/>
        </w:rPr>
        <w:sectPr>
          <w:footerReference r:id="rId6" w:type="default"/>
          <w:pgSz w:w="11906" w:h="16838"/>
          <w:pgMar w:top="1440" w:right="1531" w:bottom="1440" w:left="1531" w:header="851" w:footer="992" w:gutter="0"/>
          <w:cols w:space="1701" w:num="1"/>
          <w:docGrid w:linePitch="360" w:charSpace="0"/>
        </w:sectPr>
      </w:pPr>
      <w:r>
        <w:rPr>
          <w:rFonts w:hint="eastAsia" w:ascii="宋体" w:hAnsi="宋体" w:cs="宋体"/>
          <w:b/>
          <w:bCs/>
          <w:color w:val="0000FF"/>
          <w:highlight w:val="none"/>
        </w:rPr>
        <w:t>5.2付款方式：合同签订进场施工预付合同价（扣除暂列金额）的10%；按合格工程形象进度支付相应已完工程计量价款的80%，竣工结算审核后付至审定价的97%，余款作为质保金在工程竣验收合格两年后一次性付清(不计息</w:t>
      </w:r>
      <w:r>
        <w:rPr>
          <w:rFonts w:hint="eastAsia" w:ascii="宋体" w:hAnsi="宋体" w:cs="宋体"/>
          <w:b/>
          <w:bCs/>
          <w:color w:val="0000FF"/>
          <w:highlight w:val="none"/>
          <w:lang w:val="en-US" w:eastAsia="zh-CN"/>
        </w:rPr>
        <w:t>)</w:t>
      </w:r>
      <w:r>
        <w:rPr>
          <w:rFonts w:hint="eastAsia" w:ascii="宋体" w:hAnsi="宋体" w:cs="宋体"/>
          <w:b/>
          <w:bCs/>
          <w:color w:val="0000FF"/>
          <w:highlight w:val="none"/>
          <w:lang w:eastAsia="zh-CN"/>
        </w:rPr>
        <w:t>。</w:t>
      </w:r>
    </w:p>
    <w:p w14:paraId="0B628222">
      <w:pPr>
        <w:keepNext w:val="0"/>
        <w:keepLines w:val="0"/>
        <w:pageBreakBefore w:val="0"/>
        <w:widowControl w:val="0"/>
        <w:kinsoku/>
        <w:wordWrap/>
        <w:overflowPunct/>
        <w:topLinePunct w:val="0"/>
        <w:autoSpaceDE/>
        <w:autoSpaceDN/>
        <w:bidi w:val="0"/>
        <w:adjustRightInd w:val="0"/>
        <w:snapToGrid w:val="0"/>
        <w:spacing w:beforeAutospacing="0" w:afterAutospacing="0" w:line="312" w:lineRule="auto"/>
        <w:ind w:firstLine="640" w:firstLineChars="200"/>
        <w:jc w:val="center"/>
        <w:textAlignment w:val="auto"/>
        <w:rPr>
          <w:rFonts w:ascii="宋体" w:hAnsi="宋体" w:cs="宋体"/>
          <w:caps w:val="0"/>
          <w:color w:val="auto"/>
          <w:sz w:val="32"/>
          <w:szCs w:val="32"/>
          <w:highlight w:val="none"/>
        </w:rPr>
      </w:pPr>
      <w:bookmarkStart w:id="489" w:name="_Toc3533"/>
      <w:bookmarkStart w:id="490" w:name="_Toc26939"/>
      <w:r>
        <w:rPr>
          <w:rFonts w:hint="eastAsia" w:ascii="宋体" w:hAnsi="宋体" w:cs="宋体"/>
          <w:caps w:val="0"/>
          <w:color w:val="auto"/>
          <w:sz w:val="32"/>
          <w:szCs w:val="32"/>
          <w:highlight w:val="none"/>
        </w:rPr>
        <w:t xml:space="preserve">第五章 </w:t>
      </w:r>
      <w:bookmarkEnd w:id="468"/>
      <w:bookmarkEnd w:id="469"/>
      <w:bookmarkEnd w:id="470"/>
      <w:bookmarkEnd w:id="471"/>
      <w:bookmarkEnd w:id="472"/>
      <w:r>
        <w:rPr>
          <w:rFonts w:hint="eastAsia" w:ascii="宋体" w:hAnsi="宋体" w:cs="宋体"/>
          <w:caps w:val="0"/>
          <w:color w:val="auto"/>
          <w:sz w:val="32"/>
          <w:szCs w:val="32"/>
          <w:highlight w:val="none"/>
        </w:rPr>
        <w:t xml:space="preserve"> 响应文件的编制及格式</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9"/>
      <w:bookmarkEnd w:id="490"/>
      <w:bookmarkStart w:id="491" w:name="_Hlt26955039"/>
      <w:bookmarkEnd w:id="491"/>
      <w:bookmarkStart w:id="492" w:name="_Hlt26671244"/>
      <w:bookmarkEnd w:id="492"/>
      <w:bookmarkStart w:id="493" w:name="_Toc49090576"/>
      <w:bookmarkStart w:id="494" w:name="_Toc26554094"/>
      <w:bookmarkStart w:id="495" w:name="_Toc120614282"/>
      <w:bookmarkStart w:id="496" w:name="_Toc288030359"/>
      <w:bookmarkStart w:id="497" w:name="_Toc282446331"/>
    </w:p>
    <w:p w14:paraId="2CACE860">
      <w:pPr>
        <w:spacing w:after="60" w:line="420" w:lineRule="exact"/>
        <w:rPr>
          <w:rFonts w:ascii="宋体" w:hAnsi="宋体" w:cs="宋体"/>
          <w:b/>
          <w:color w:val="auto"/>
          <w:sz w:val="21"/>
          <w:szCs w:val="21"/>
          <w:highlight w:val="none"/>
        </w:rPr>
      </w:pPr>
    </w:p>
    <w:p w14:paraId="361EC596">
      <w:pPr>
        <w:spacing w:after="60" w:line="420" w:lineRule="exact"/>
        <w:ind w:firstLine="480"/>
        <w:rPr>
          <w:rFonts w:ascii="宋体" w:hAnsi="宋体" w:cs="宋体"/>
          <w:b/>
          <w:color w:val="auto"/>
          <w:highlight w:val="none"/>
        </w:rPr>
      </w:pPr>
      <w:r>
        <w:rPr>
          <w:rFonts w:hint="eastAsia" w:ascii="宋体" w:hAnsi="宋体" w:cs="宋体"/>
          <w:b/>
          <w:color w:val="auto"/>
          <w:highlight w:val="none"/>
        </w:rPr>
        <w:t>1.响应文件的构成</w:t>
      </w:r>
    </w:p>
    <w:p w14:paraId="5FFEF286">
      <w:pPr>
        <w:spacing w:after="60" w:line="420" w:lineRule="exact"/>
        <w:ind w:firstLine="480"/>
        <w:rPr>
          <w:rFonts w:ascii="宋体" w:hAnsi="宋体"/>
          <w:bCs/>
          <w:color w:val="auto"/>
          <w:highlight w:val="none"/>
        </w:rPr>
      </w:pPr>
      <w:r>
        <w:rPr>
          <w:rFonts w:hint="eastAsia" w:ascii="宋体" w:hAnsi="宋体"/>
          <w:bCs/>
          <w:color w:val="auto"/>
          <w:highlight w:val="none"/>
        </w:rPr>
        <w:t>（1）磋商报价表</w:t>
      </w:r>
    </w:p>
    <w:p w14:paraId="50E4A099">
      <w:pPr>
        <w:spacing w:after="60" w:line="420" w:lineRule="exact"/>
        <w:ind w:firstLine="480"/>
        <w:rPr>
          <w:rFonts w:ascii="宋体" w:hAnsi="宋体"/>
          <w:bCs/>
          <w:color w:val="auto"/>
          <w:highlight w:val="none"/>
        </w:rPr>
      </w:pPr>
      <w:r>
        <w:rPr>
          <w:rFonts w:hint="eastAsia" w:ascii="宋体" w:hAnsi="宋体"/>
          <w:bCs/>
          <w:color w:val="auto"/>
          <w:highlight w:val="none"/>
        </w:rPr>
        <w:t>（2）响应函及附录</w:t>
      </w:r>
    </w:p>
    <w:p w14:paraId="2E993CAB">
      <w:pPr>
        <w:spacing w:after="60" w:line="420" w:lineRule="exact"/>
        <w:ind w:firstLine="480"/>
        <w:rPr>
          <w:rFonts w:ascii="宋体" w:hAnsi="宋体"/>
          <w:bCs/>
          <w:color w:val="auto"/>
          <w:highlight w:val="none"/>
        </w:rPr>
      </w:pPr>
      <w:r>
        <w:rPr>
          <w:rFonts w:hint="eastAsia" w:ascii="宋体" w:hAnsi="宋体"/>
          <w:bCs/>
          <w:color w:val="auto"/>
          <w:highlight w:val="none"/>
        </w:rPr>
        <w:t>（3）资格及资信证明文件</w:t>
      </w:r>
    </w:p>
    <w:p w14:paraId="3EBB66D0">
      <w:pPr>
        <w:spacing w:after="60" w:line="420" w:lineRule="exact"/>
        <w:ind w:firstLine="480"/>
        <w:rPr>
          <w:rFonts w:ascii="宋体" w:hAnsi="宋体"/>
          <w:bCs/>
          <w:color w:val="auto"/>
          <w:highlight w:val="none"/>
        </w:rPr>
      </w:pPr>
      <w:r>
        <w:rPr>
          <w:rFonts w:hint="eastAsia" w:ascii="宋体" w:hAnsi="宋体"/>
          <w:bCs/>
          <w:color w:val="auto"/>
          <w:highlight w:val="none"/>
        </w:rPr>
        <w:t>（4）技术标准和要求响应承诺</w:t>
      </w:r>
    </w:p>
    <w:p w14:paraId="3ECE13E4">
      <w:pPr>
        <w:spacing w:after="60" w:line="420" w:lineRule="exact"/>
        <w:ind w:firstLine="480"/>
        <w:rPr>
          <w:rFonts w:ascii="宋体" w:hAnsi="宋体"/>
          <w:bCs/>
          <w:color w:val="auto"/>
          <w:highlight w:val="none"/>
        </w:rPr>
      </w:pPr>
      <w:r>
        <w:rPr>
          <w:rFonts w:hint="eastAsia" w:ascii="宋体" w:hAnsi="宋体"/>
          <w:bCs/>
          <w:color w:val="auto"/>
          <w:highlight w:val="none"/>
        </w:rPr>
        <w:t>（5）企业综合实力证明材料</w:t>
      </w:r>
    </w:p>
    <w:p w14:paraId="6FFBEFA0">
      <w:pPr>
        <w:spacing w:after="60" w:line="420" w:lineRule="exact"/>
        <w:ind w:firstLine="480"/>
        <w:rPr>
          <w:rFonts w:ascii="宋体" w:hAnsi="宋体"/>
          <w:bCs/>
          <w:color w:val="auto"/>
          <w:highlight w:val="none"/>
        </w:rPr>
      </w:pPr>
      <w:r>
        <w:rPr>
          <w:rFonts w:hint="eastAsia" w:ascii="宋体" w:hAnsi="宋体"/>
          <w:bCs/>
          <w:color w:val="auto"/>
          <w:highlight w:val="none"/>
        </w:rPr>
        <w:t>（6）供应商认为应列入响应文件的其他材料</w:t>
      </w:r>
    </w:p>
    <w:p w14:paraId="28FBEAFF">
      <w:pPr>
        <w:spacing w:after="60" w:line="420" w:lineRule="exact"/>
        <w:ind w:firstLine="420"/>
        <w:rPr>
          <w:rFonts w:ascii="宋体" w:hAnsi="宋体" w:cs="宋体"/>
          <w:b/>
          <w:color w:val="auto"/>
          <w:highlight w:val="none"/>
        </w:rPr>
      </w:pPr>
      <w:r>
        <w:rPr>
          <w:rFonts w:hint="eastAsia" w:ascii="宋体" w:hAnsi="宋体" w:cs="宋体"/>
          <w:b/>
          <w:color w:val="auto"/>
          <w:highlight w:val="none"/>
        </w:rPr>
        <w:t>2.响应文件的编制内容及编制要求</w:t>
      </w:r>
    </w:p>
    <w:p w14:paraId="631A9581">
      <w:pPr>
        <w:spacing w:after="60" w:line="420" w:lineRule="exact"/>
        <w:ind w:firstLine="420"/>
        <w:rPr>
          <w:rFonts w:ascii="宋体" w:hAnsi="宋体" w:cs="宋体"/>
          <w:b/>
          <w:color w:val="auto"/>
          <w:highlight w:val="none"/>
        </w:rPr>
      </w:pPr>
      <w:r>
        <w:rPr>
          <w:rFonts w:hint="eastAsia" w:ascii="宋体" w:hAnsi="宋体" w:cs="宋体"/>
          <w:b/>
          <w:color w:val="auto"/>
          <w:highlight w:val="none"/>
        </w:rPr>
        <w:t>2.1磋商报价表</w:t>
      </w:r>
    </w:p>
    <w:p w14:paraId="651C2D1D">
      <w:pPr>
        <w:spacing w:after="60" w:line="420" w:lineRule="exact"/>
        <w:ind w:firstLine="420"/>
        <w:rPr>
          <w:rFonts w:ascii="宋体" w:hAnsi="宋体"/>
          <w:bCs/>
          <w:color w:val="auto"/>
          <w:highlight w:val="none"/>
        </w:rPr>
      </w:pPr>
      <w:r>
        <w:rPr>
          <w:rFonts w:hint="eastAsia" w:ascii="宋体" w:hAnsi="宋体"/>
          <w:bCs/>
          <w:color w:val="auto"/>
          <w:highlight w:val="none"/>
        </w:rPr>
        <w:t>2.1.1供应商必须按表中规定格式完整、清晰、正确填写；</w:t>
      </w:r>
    </w:p>
    <w:p w14:paraId="52F21E0D">
      <w:pPr>
        <w:spacing w:after="60" w:line="420" w:lineRule="exact"/>
        <w:ind w:firstLine="420"/>
        <w:rPr>
          <w:rFonts w:ascii="宋体" w:hAnsi="宋体"/>
          <w:bCs/>
          <w:color w:val="auto"/>
          <w:highlight w:val="none"/>
        </w:rPr>
      </w:pPr>
      <w:r>
        <w:rPr>
          <w:rFonts w:hint="eastAsia" w:ascii="宋体" w:hAnsi="宋体"/>
          <w:bCs/>
          <w:color w:val="auto"/>
          <w:highlight w:val="none"/>
        </w:rPr>
        <w:t>2.1.2磋商报价表中的价格应与响应文件中响应函中的价格一致。</w:t>
      </w:r>
    </w:p>
    <w:p w14:paraId="58AD2C29">
      <w:pPr>
        <w:spacing w:after="60" w:line="420" w:lineRule="exact"/>
        <w:ind w:firstLine="420"/>
        <w:rPr>
          <w:rFonts w:ascii="宋体" w:hAnsi="宋体"/>
          <w:bCs/>
          <w:color w:val="auto"/>
          <w:highlight w:val="none"/>
        </w:rPr>
      </w:pPr>
      <w:r>
        <w:rPr>
          <w:rFonts w:hint="eastAsia" w:ascii="宋体" w:hAnsi="宋体"/>
          <w:bCs/>
          <w:color w:val="auto"/>
          <w:highlight w:val="none"/>
        </w:rPr>
        <w:t>2.1.3磋商报价表格式见附件。</w:t>
      </w:r>
    </w:p>
    <w:p w14:paraId="0C0613E4">
      <w:pPr>
        <w:spacing w:after="60" w:line="420" w:lineRule="exact"/>
        <w:ind w:firstLine="420"/>
        <w:rPr>
          <w:rFonts w:ascii="宋体" w:hAnsi="宋体" w:cs="宋体"/>
          <w:b/>
          <w:color w:val="auto"/>
          <w:highlight w:val="none"/>
        </w:rPr>
      </w:pPr>
      <w:r>
        <w:rPr>
          <w:rFonts w:hint="eastAsia" w:ascii="宋体" w:hAnsi="宋体" w:cs="宋体"/>
          <w:b/>
          <w:color w:val="auto"/>
          <w:highlight w:val="none"/>
        </w:rPr>
        <w:t>2.2响应函及附录</w:t>
      </w:r>
    </w:p>
    <w:p w14:paraId="57950B03">
      <w:pPr>
        <w:spacing w:after="60" w:line="420" w:lineRule="exact"/>
        <w:ind w:firstLine="420"/>
        <w:rPr>
          <w:rFonts w:ascii="宋体" w:hAnsi="宋体"/>
          <w:bCs/>
          <w:color w:val="auto"/>
          <w:highlight w:val="none"/>
        </w:rPr>
      </w:pPr>
      <w:r>
        <w:rPr>
          <w:rFonts w:hint="eastAsia" w:ascii="宋体" w:hAnsi="宋体"/>
          <w:bCs/>
          <w:color w:val="auto"/>
          <w:highlight w:val="none"/>
        </w:rPr>
        <w:t>2.2.1供应商必须按表中规定格式完整、清晰、正确填写；</w:t>
      </w:r>
    </w:p>
    <w:p w14:paraId="55A7484C">
      <w:pPr>
        <w:spacing w:after="60" w:line="420" w:lineRule="exact"/>
        <w:ind w:firstLine="420"/>
        <w:rPr>
          <w:rFonts w:ascii="宋体" w:hAnsi="宋体"/>
          <w:bCs/>
          <w:color w:val="auto"/>
          <w:highlight w:val="none"/>
        </w:rPr>
      </w:pPr>
      <w:r>
        <w:rPr>
          <w:rFonts w:hint="eastAsia" w:ascii="宋体" w:hAnsi="宋体"/>
          <w:bCs/>
          <w:color w:val="auto"/>
          <w:highlight w:val="none"/>
        </w:rPr>
        <w:t>2.2.2响应函及附录应加盖供应商法人公章并经法定代表人或经其正式授权的代表</w:t>
      </w:r>
      <w:r>
        <w:rPr>
          <w:rFonts w:hint="eastAsia" w:ascii="宋体" w:hAnsi="宋体"/>
          <w:bCs/>
          <w:color w:val="auto"/>
          <w:highlight w:val="none"/>
          <w:lang w:eastAsia="zh-CN"/>
        </w:rPr>
        <w:t>签字或盖章</w:t>
      </w:r>
      <w:r>
        <w:rPr>
          <w:rFonts w:hint="eastAsia" w:ascii="宋体" w:hAnsi="宋体"/>
          <w:bCs/>
          <w:color w:val="auto"/>
          <w:highlight w:val="none"/>
        </w:rPr>
        <w:t>。授权代表</w:t>
      </w:r>
      <w:r>
        <w:rPr>
          <w:rFonts w:hint="eastAsia" w:ascii="宋体" w:hAnsi="宋体"/>
          <w:bCs/>
          <w:color w:val="auto"/>
          <w:highlight w:val="none"/>
          <w:lang w:eastAsia="zh-CN"/>
        </w:rPr>
        <w:t>签字或盖章</w:t>
      </w:r>
      <w:r>
        <w:rPr>
          <w:rFonts w:hint="eastAsia" w:ascii="宋体" w:hAnsi="宋体"/>
          <w:bCs/>
          <w:color w:val="auto"/>
          <w:highlight w:val="none"/>
        </w:rPr>
        <w:t>时，须将《法定代表人授权委托书》及其附件附在响应文件中。</w:t>
      </w:r>
    </w:p>
    <w:p w14:paraId="569732F2">
      <w:pPr>
        <w:spacing w:after="60" w:line="420" w:lineRule="exact"/>
        <w:ind w:firstLine="420"/>
        <w:rPr>
          <w:rFonts w:ascii="宋体" w:hAnsi="宋体"/>
          <w:bCs/>
          <w:color w:val="auto"/>
          <w:highlight w:val="none"/>
        </w:rPr>
      </w:pPr>
      <w:r>
        <w:rPr>
          <w:rFonts w:hint="eastAsia" w:ascii="宋体" w:hAnsi="宋体"/>
          <w:bCs/>
          <w:color w:val="auto"/>
          <w:highlight w:val="none"/>
        </w:rPr>
        <w:t>2.2.3响应函及附录和法定代表人授权委托书的格式见附件。</w:t>
      </w:r>
    </w:p>
    <w:p w14:paraId="0FB127BD">
      <w:pPr>
        <w:spacing w:after="60" w:line="420" w:lineRule="exact"/>
        <w:ind w:firstLine="420"/>
        <w:rPr>
          <w:rFonts w:ascii="宋体" w:hAnsi="宋体" w:cs="宋体"/>
          <w:b/>
          <w:color w:val="auto"/>
          <w:highlight w:val="none"/>
        </w:rPr>
      </w:pPr>
      <w:r>
        <w:rPr>
          <w:rFonts w:hint="eastAsia" w:ascii="宋体" w:hAnsi="宋体" w:cs="宋体"/>
          <w:b/>
          <w:color w:val="auto"/>
          <w:highlight w:val="none"/>
        </w:rPr>
        <w:t>2.3资格及资信证明文件</w:t>
      </w:r>
    </w:p>
    <w:p w14:paraId="1F955C54">
      <w:pPr>
        <w:spacing w:after="60" w:line="420" w:lineRule="exact"/>
        <w:ind w:firstLine="420"/>
        <w:rPr>
          <w:rFonts w:ascii="宋体" w:hAnsi="宋体"/>
          <w:bCs/>
          <w:color w:val="auto"/>
          <w:highlight w:val="none"/>
        </w:rPr>
      </w:pPr>
      <w:r>
        <w:rPr>
          <w:rFonts w:hint="eastAsia" w:ascii="宋体" w:hAnsi="宋体"/>
          <w:bCs/>
          <w:color w:val="auto"/>
          <w:highlight w:val="none"/>
        </w:rPr>
        <w:t>2.3.1该部分内容是资格性审查和综合评分的依据，供应商应根据第三章竞争性磋商的评审内容和评审标准提供相应的材料。</w:t>
      </w:r>
    </w:p>
    <w:p w14:paraId="2E2FF372">
      <w:pPr>
        <w:spacing w:after="60" w:line="420" w:lineRule="exact"/>
        <w:ind w:firstLine="420"/>
        <w:rPr>
          <w:rFonts w:ascii="宋体" w:hAnsi="宋体"/>
          <w:bCs/>
          <w:color w:val="auto"/>
          <w:highlight w:val="none"/>
        </w:rPr>
      </w:pPr>
      <w:r>
        <w:rPr>
          <w:rFonts w:hint="eastAsia" w:ascii="宋体" w:hAnsi="宋体"/>
          <w:bCs/>
          <w:color w:val="auto"/>
          <w:highlight w:val="none"/>
        </w:rPr>
        <w:t>2.3.2资格及资信证明文件应包括而不限于以下内容：</w:t>
      </w:r>
    </w:p>
    <w:p w14:paraId="1C305B62">
      <w:pPr>
        <w:spacing w:after="60" w:line="420" w:lineRule="exact"/>
        <w:ind w:firstLine="420"/>
        <w:rPr>
          <w:rFonts w:ascii="宋体" w:hAnsi="宋体"/>
          <w:bCs/>
          <w:color w:val="auto"/>
          <w:highlight w:val="none"/>
        </w:rPr>
      </w:pPr>
      <w:r>
        <w:rPr>
          <w:rFonts w:hint="eastAsia" w:ascii="宋体" w:hAnsi="宋体"/>
          <w:bCs/>
          <w:color w:val="auto"/>
          <w:highlight w:val="none"/>
        </w:rPr>
        <w:t>（1）供应商基本资格条件承诺书</w:t>
      </w:r>
    </w:p>
    <w:p w14:paraId="369BA52E">
      <w:pPr>
        <w:spacing w:after="60" w:line="420" w:lineRule="exact"/>
        <w:ind w:firstLine="420"/>
        <w:rPr>
          <w:rFonts w:ascii="宋体" w:hAnsi="宋体"/>
          <w:bCs/>
          <w:color w:val="auto"/>
          <w:highlight w:val="none"/>
        </w:rPr>
      </w:pPr>
      <w:r>
        <w:rPr>
          <w:rFonts w:hint="eastAsia" w:ascii="宋体" w:hAnsi="宋体"/>
          <w:bCs/>
          <w:color w:val="auto"/>
          <w:highlight w:val="none"/>
        </w:rPr>
        <w:t>（2）法定代表人授权委托书（法定代表人参加投标的提供法定代表人身份证明书，格式附后）</w:t>
      </w:r>
    </w:p>
    <w:p w14:paraId="636DDD77">
      <w:pPr>
        <w:spacing w:after="60" w:line="420" w:lineRule="exact"/>
        <w:ind w:firstLine="420"/>
        <w:rPr>
          <w:rFonts w:ascii="宋体" w:hAnsi="宋体"/>
          <w:bCs/>
          <w:color w:val="auto"/>
          <w:highlight w:val="none"/>
        </w:rPr>
      </w:pPr>
      <w:r>
        <w:rPr>
          <w:rFonts w:hint="eastAsia" w:ascii="宋体" w:hAnsi="宋体"/>
          <w:bCs/>
          <w:color w:val="auto"/>
          <w:highlight w:val="none"/>
        </w:rPr>
        <w:t>（3）供应商营业执照</w:t>
      </w:r>
    </w:p>
    <w:p w14:paraId="2E6DB30F">
      <w:pPr>
        <w:spacing w:after="60" w:line="420" w:lineRule="exact"/>
        <w:ind w:firstLine="420"/>
        <w:rPr>
          <w:rFonts w:ascii="宋体" w:hAnsi="宋体"/>
          <w:bCs/>
          <w:color w:val="auto"/>
          <w:highlight w:val="none"/>
        </w:rPr>
      </w:pPr>
      <w:r>
        <w:rPr>
          <w:rFonts w:hint="eastAsia" w:ascii="宋体" w:hAnsi="宋体"/>
          <w:bCs/>
          <w:color w:val="auto"/>
          <w:highlight w:val="none"/>
        </w:rPr>
        <w:t>（4）供应商资质证书、安全生产许可证</w:t>
      </w:r>
      <w:bookmarkStart w:id="498" w:name="OLE_LINK15"/>
      <w:bookmarkStart w:id="499" w:name="OLE_LINK16"/>
      <w:r>
        <w:rPr>
          <w:rFonts w:hint="eastAsia" w:ascii="宋体" w:hAnsi="宋体"/>
          <w:bCs/>
          <w:color w:val="auto"/>
          <w:highlight w:val="none"/>
        </w:rPr>
        <w:t>（如有时）</w:t>
      </w:r>
      <w:bookmarkEnd w:id="498"/>
      <w:bookmarkEnd w:id="499"/>
    </w:p>
    <w:p w14:paraId="7582AC7C">
      <w:pPr>
        <w:spacing w:after="60" w:line="420" w:lineRule="exact"/>
        <w:ind w:firstLine="420"/>
        <w:rPr>
          <w:rFonts w:ascii="宋体" w:hAnsi="宋体"/>
          <w:bCs/>
          <w:color w:val="auto"/>
          <w:highlight w:val="none"/>
        </w:rPr>
      </w:pPr>
      <w:r>
        <w:rPr>
          <w:rFonts w:hint="eastAsia" w:ascii="宋体" w:hAnsi="宋体"/>
          <w:bCs/>
          <w:color w:val="auto"/>
          <w:highlight w:val="none"/>
        </w:rPr>
        <w:t>（5）拟派项目负责人注册建造师证书或职称证书、安全生产考核合格证书（如有时）、任职信息截图</w:t>
      </w:r>
    </w:p>
    <w:p w14:paraId="173876A6">
      <w:pPr>
        <w:spacing w:after="60" w:line="420" w:lineRule="exact"/>
        <w:ind w:firstLine="420"/>
        <w:rPr>
          <w:rFonts w:ascii="宋体" w:hAnsi="宋体"/>
          <w:bCs/>
          <w:color w:val="auto"/>
          <w:highlight w:val="none"/>
        </w:rPr>
      </w:pPr>
      <w:r>
        <w:rPr>
          <w:rFonts w:hint="eastAsia" w:ascii="宋体" w:hAnsi="宋体"/>
          <w:bCs/>
          <w:color w:val="auto"/>
          <w:highlight w:val="none"/>
        </w:rPr>
        <w:t>（6）供应商为项目负责人缴纳养老保险的证明材料（具体要求见竞争性磋商公告）</w:t>
      </w:r>
    </w:p>
    <w:p w14:paraId="44C367CD">
      <w:pPr>
        <w:spacing w:after="60" w:line="420" w:lineRule="exact"/>
        <w:ind w:firstLine="420"/>
        <w:rPr>
          <w:rFonts w:ascii="宋体" w:hAnsi="宋体"/>
          <w:bCs/>
          <w:color w:val="auto"/>
          <w:highlight w:val="none"/>
        </w:rPr>
      </w:pPr>
      <w:r>
        <w:rPr>
          <w:rFonts w:hint="eastAsia" w:ascii="宋体" w:hAnsi="宋体"/>
          <w:bCs/>
          <w:color w:val="auto"/>
          <w:highlight w:val="none"/>
        </w:rPr>
        <w:t>（7）诚信投标承诺书（格式附后）</w:t>
      </w:r>
    </w:p>
    <w:p w14:paraId="2A2A066A">
      <w:pPr>
        <w:spacing w:after="60" w:line="420" w:lineRule="exact"/>
        <w:ind w:firstLine="420"/>
        <w:rPr>
          <w:rFonts w:ascii="宋体" w:hAnsi="宋体"/>
          <w:bCs/>
          <w:color w:val="auto"/>
          <w:highlight w:val="none"/>
        </w:rPr>
      </w:pPr>
      <w:r>
        <w:rPr>
          <w:rFonts w:hint="eastAsia" w:ascii="宋体" w:hAnsi="宋体"/>
          <w:bCs/>
          <w:color w:val="auto"/>
          <w:highlight w:val="none"/>
        </w:rPr>
        <w:t>（8）中小企业声明函、监狱企业证明、残疾人福利性单位声明函（如有）</w:t>
      </w:r>
    </w:p>
    <w:p w14:paraId="7C8FB500">
      <w:pPr>
        <w:spacing w:after="60" w:line="420" w:lineRule="exact"/>
        <w:ind w:firstLine="420"/>
        <w:rPr>
          <w:rFonts w:ascii="宋体" w:hAnsi="宋体"/>
          <w:bCs/>
          <w:color w:val="auto"/>
          <w:highlight w:val="none"/>
        </w:rPr>
      </w:pPr>
      <w:r>
        <w:rPr>
          <w:rFonts w:hint="eastAsia" w:ascii="宋体" w:hAnsi="宋体"/>
          <w:bCs/>
          <w:color w:val="auto"/>
          <w:highlight w:val="none"/>
        </w:rPr>
        <w:t>（9）供应商认为需要提供的其他资格及资信证明文件</w:t>
      </w:r>
    </w:p>
    <w:p w14:paraId="4E5BBE9C">
      <w:pPr>
        <w:spacing w:after="60" w:line="420" w:lineRule="exact"/>
        <w:ind w:firstLine="420"/>
        <w:rPr>
          <w:rFonts w:ascii="宋体" w:hAnsi="宋体" w:cs="宋体"/>
          <w:b/>
          <w:color w:val="auto"/>
          <w:highlight w:val="none"/>
        </w:rPr>
      </w:pPr>
      <w:r>
        <w:rPr>
          <w:rFonts w:hint="eastAsia" w:ascii="宋体" w:hAnsi="宋体" w:cs="宋体"/>
          <w:b/>
          <w:color w:val="auto"/>
          <w:highlight w:val="none"/>
        </w:rPr>
        <w:t>2.4技术标准和要求响应承诺</w:t>
      </w:r>
    </w:p>
    <w:p w14:paraId="4F511DA0">
      <w:pPr>
        <w:spacing w:after="60" w:line="420" w:lineRule="exact"/>
        <w:ind w:firstLine="420"/>
        <w:rPr>
          <w:rFonts w:ascii="宋体" w:hAnsi="宋体"/>
          <w:bCs/>
          <w:color w:val="auto"/>
          <w:highlight w:val="none"/>
        </w:rPr>
      </w:pPr>
      <w:r>
        <w:rPr>
          <w:rFonts w:hint="eastAsia" w:ascii="宋体" w:hAnsi="宋体"/>
          <w:bCs/>
          <w:color w:val="auto"/>
          <w:highlight w:val="none"/>
        </w:rPr>
        <w:t>根据磋商文件要求提供技术标准和要求响应承诺。</w:t>
      </w:r>
    </w:p>
    <w:p w14:paraId="08B1EFAF">
      <w:pPr>
        <w:spacing w:after="60" w:line="420" w:lineRule="exact"/>
        <w:ind w:firstLine="420"/>
        <w:rPr>
          <w:rFonts w:ascii="宋体" w:hAnsi="宋体" w:cs="宋体"/>
          <w:b/>
          <w:color w:val="auto"/>
          <w:highlight w:val="none"/>
        </w:rPr>
      </w:pPr>
      <w:r>
        <w:rPr>
          <w:rFonts w:hint="eastAsia" w:ascii="宋体" w:hAnsi="宋体" w:cs="宋体"/>
          <w:b/>
          <w:color w:val="auto"/>
          <w:highlight w:val="none"/>
        </w:rPr>
        <w:t>2.5企业综合实力证明材料</w:t>
      </w:r>
    </w:p>
    <w:p w14:paraId="54A9C751">
      <w:pPr>
        <w:spacing w:after="60" w:line="420" w:lineRule="exact"/>
        <w:ind w:firstLine="420"/>
        <w:rPr>
          <w:rFonts w:ascii="宋体" w:hAnsi="宋体"/>
          <w:bCs/>
          <w:color w:val="auto"/>
          <w:highlight w:val="none"/>
        </w:rPr>
      </w:pPr>
      <w:r>
        <w:rPr>
          <w:rFonts w:hint="eastAsia" w:ascii="宋体" w:hAnsi="宋体"/>
          <w:bCs/>
          <w:color w:val="auto"/>
          <w:highlight w:val="none"/>
        </w:rPr>
        <w:t>对照第三章竞争性磋商中的综合评分中的评审因素，针对本采购项目特点，自行编制。</w:t>
      </w:r>
    </w:p>
    <w:p w14:paraId="776060B8">
      <w:pPr>
        <w:spacing w:after="60" w:line="420" w:lineRule="exact"/>
        <w:ind w:firstLine="420"/>
        <w:rPr>
          <w:rFonts w:ascii="宋体" w:hAnsi="宋体" w:cs="宋体"/>
          <w:b/>
          <w:color w:val="auto"/>
          <w:sz w:val="21"/>
          <w:szCs w:val="21"/>
          <w:highlight w:val="none"/>
        </w:rPr>
      </w:pPr>
      <w:r>
        <w:rPr>
          <w:rFonts w:hint="eastAsia" w:ascii="宋体" w:hAnsi="宋体" w:cs="宋体"/>
          <w:b/>
          <w:color w:val="auto"/>
          <w:highlight w:val="none"/>
        </w:rPr>
        <w:t>2.6供应商认为应列入响应文件的其他材料</w:t>
      </w:r>
    </w:p>
    <w:bookmarkEnd w:id="493"/>
    <w:bookmarkEnd w:id="494"/>
    <w:bookmarkEnd w:id="495"/>
    <w:bookmarkEnd w:id="496"/>
    <w:bookmarkEnd w:id="497"/>
    <w:p w14:paraId="068E0DD1">
      <w:pPr>
        <w:spacing w:line="500" w:lineRule="exact"/>
        <w:rPr>
          <w:b/>
          <w:bCs/>
          <w:color w:val="auto"/>
          <w:highlight w:val="none"/>
        </w:rPr>
      </w:pPr>
    </w:p>
    <w:p w14:paraId="7C7BA70F">
      <w:pPr>
        <w:pStyle w:val="288"/>
        <w:ind w:firstLine="0"/>
        <w:rPr>
          <w:color w:val="auto"/>
          <w:highlight w:val="none"/>
        </w:rPr>
        <w:sectPr>
          <w:pgSz w:w="11906" w:h="16838"/>
          <w:pgMar w:top="1440" w:right="1531" w:bottom="1440" w:left="1531" w:header="851" w:footer="992" w:gutter="0"/>
          <w:cols w:space="1701" w:num="1"/>
          <w:docGrid w:linePitch="360" w:charSpace="0"/>
        </w:sectPr>
      </w:pPr>
    </w:p>
    <w:p w14:paraId="1A354A82">
      <w:pPr>
        <w:spacing w:after="60"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3.响应文件参考格式</w:t>
      </w:r>
    </w:p>
    <w:p w14:paraId="217BE0DA">
      <w:pPr>
        <w:spacing w:after="60" w:line="420" w:lineRule="exact"/>
        <w:rPr>
          <w:rFonts w:ascii="宋体" w:hAnsi="宋体"/>
          <w:bCs/>
          <w:color w:val="auto"/>
          <w:szCs w:val="21"/>
          <w:highlight w:val="none"/>
        </w:rPr>
      </w:pPr>
      <w:r>
        <w:rPr>
          <w:rFonts w:hint="eastAsia" w:ascii="宋体" w:hAnsi="宋体" w:cs="宋体"/>
          <w:bCs/>
          <w:color w:val="auto"/>
          <w:sz w:val="28"/>
          <w:szCs w:val="28"/>
          <w:highlight w:val="none"/>
        </w:rPr>
        <w:t>3.1响应文件封面格式</w:t>
      </w:r>
    </w:p>
    <w:p w14:paraId="32FC5610">
      <w:pPr>
        <w:spacing w:after="60" w:line="500" w:lineRule="exact"/>
        <w:rPr>
          <w:rFonts w:ascii="宋体" w:hAnsi="宋体"/>
          <w:bCs/>
          <w:color w:val="auto"/>
          <w:szCs w:val="21"/>
          <w:highlight w:val="none"/>
        </w:rPr>
      </w:pPr>
    </w:p>
    <w:p w14:paraId="3E5362EE">
      <w:pPr>
        <w:pStyle w:val="283"/>
        <w:rPr>
          <w:color w:val="auto"/>
          <w:highlight w:val="none"/>
        </w:rPr>
      </w:pPr>
    </w:p>
    <w:p w14:paraId="4990CD85">
      <w:pPr>
        <w:spacing w:after="60" w:line="500" w:lineRule="exact"/>
        <w:jc w:val="center"/>
        <w:rPr>
          <w:rFonts w:ascii="宋体" w:hAnsi="宋体"/>
          <w:b/>
          <w:color w:val="auto"/>
          <w:sz w:val="48"/>
          <w:szCs w:val="48"/>
          <w:highlight w:val="none"/>
        </w:rPr>
      </w:pPr>
    </w:p>
    <w:p w14:paraId="0C07C81E">
      <w:pPr>
        <w:spacing w:after="60" w:line="500" w:lineRule="exact"/>
        <w:jc w:val="center"/>
        <w:rPr>
          <w:rFonts w:ascii="宋体" w:hAnsi="宋体"/>
          <w:b/>
          <w:color w:val="auto"/>
          <w:sz w:val="48"/>
          <w:szCs w:val="48"/>
          <w:highlight w:val="none"/>
        </w:rPr>
      </w:pPr>
    </w:p>
    <w:p w14:paraId="05292BBA">
      <w:pPr>
        <w:spacing w:after="60" w:line="500" w:lineRule="exact"/>
        <w:jc w:val="center"/>
        <w:rPr>
          <w:rFonts w:ascii="宋体" w:hAnsi="宋体"/>
          <w:b/>
          <w:color w:val="auto"/>
          <w:sz w:val="48"/>
          <w:szCs w:val="48"/>
          <w:highlight w:val="none"/>
        </w:rPr>
      </w:pPr>
      <w:r>
        <w:rPr>
          <w:rFonts w:hint="eastAsia" w:ascii="宋体" w:hAnsi="宋体"/>
          <w:b/>
          <w:color w:val="auto"/>
          <w:sz w:val="48"/>
          <w:szCs w:val="48"/>
          <w:highlight w:val="none"/>
        </w:rPr>
        <w:t>响应文件</w:t>
      </w:r>
    </w:p>
    <w:p w14:paraId="5E70995A">
      <w:pPr>
        <w:spacing w:after="60" w:line="500" w:lineRule="exact"/>
        <w:rPr>
          <w:rFonts w:ascii="宋体" w:hAnsi="宋体"/>
          <w:bCs/>
          <w:color w:val="auto"/>
          <w:szCs w:val="21"/>
          <w:highlight w:val="none"/>
        </w:rPr>
      </w:pPr>
    </w:p>
    <w:p w14:paraId="46FCE981">
      <w:pPr>
        <w:spacing w:after="60" w:line="500" w:lineRule="exact"/>
        <w:rPr>
          <w:rFonts w:ascii="宋体" w:hAnsi="宋体"/>
          <w:bCs/>
          <w:color w:val="auto"/>
          <w:szCs w:val="21"/>
          <w:highlight w:val="none"/>
        </w:rPr>
      </w:pPr>
    </w:p>
    <w:p w14:paraId="100F1E5F">
      <w:pPr>
        <w:spacing w:after="60" w:line="500" w:lineRule="exact"/>
        <w:ind w:firstLine="240"/>
        <w:rPr>
          <w:rFonts w:ascii="宋体" w:hAnsi="宋体"/>
          <w:bCs/>
          <w:color w:val="auto"/>
          <w:highlight w:val="none"/>
        </w:rPr>
      </w:pPr>
    </w:p>
    <w:p w14:paraId="790A082E">
      <w:pPr>
        <w:spacing w:after="60" w:line="500" w:lineRule="exact"/>
        <w:ind w:firstLine="240"/>
        <w:rPr>
          <w:rFonts w:ascii="宋体" w:hAnsi="宋体"/>
          <w:bCs/>
          <w:color w:val="auto"/>
          <w:highlight w:val="none"/>
        </w:rPr>
      </w:pPr>
    </w:p>
    <w:p w14:paraId="70547B38">
      <w:pPr>
        <w:spacing w:line="440" w:lineRule="exact"/>
        <w:ind w:firstLine="2520"/>
        <w:jc w:val="left"/>
        <w:rPr>
          <w:rFonts w:ascii="宋体" w:hAnsi="宋体"/>
          <w:color w:val="auto"/>
          <w:sz w:val="28"/>
          <w:szCs w:val="28"/>
          <w:highlight w:val="none"/>
        </w:rPr>
      </w:pPr>
      <w:r>
        <w:rPr>
          <w:rFonts w:hint="eastAsia" w:ascii="宋体" w:hAnsi="宋体"/>
          <w:color w:val="auto"/>
          <w:sz w:val="28"/>
          <w:szCs w:val="28"/>
          <w:highlight w:val="none"/>
        </w:rPr>
        <w:t>项目（标包）名称：</w:t>
      </w:r>
    </w:p>
    <w:p w14:paraId="1E553416">
      <w:pPr>
        <w:spacing w:line="440" w:lineRule="exact"/>
        <w:ind w:firstLine="2520"/>
        <w:jc w:val="left"/>
        <w:rPr>
          <w:rFonts w:ascii="宋体" w:hAnsi="宋体"/>
          <w:color w:val="auto"/>
          <w:sz w:val="28"/>
          <w:szCs w:val="28"/>
          <w:highlight w:val="none"/>
        </w:rPr>
      </w:pPr>
      <w:r>
        <w:rPr>
          <w:rFonts w:hint="eastAsia" w:ascii="宋体" w:hAnsi="宋体"/>
          <w:color w:val="auto"/>
          <w:sz w:val="28"/>
          <w:szCs w:val="28"/>
          <w:highlight w:val="none"/>
        </w:rPr>
        <w:t>项目编号：</w:t>
      </w:r>
    </w:p>
    <w:p w14:paraId="3CC09E41">
      <w:pPr>
        <w:spacing w:after="60" w:line="500" w:lineRule="exact"/>
        <w:rPr>
          <w:rFonts w:ascii="宋体" w:hAnsi="宋体"/>
          <w:bCs/>
          <w:color w:val="auto"/>
          <w:highlight w:val="none"/>
        </w:rPr>
      </w:pPr>
    </w:p>
    <w:p w14:paraId="66E1DB4A">
      <w:pPr>
        <w:spacing w:after="60" w:line="500" w:lineRule="exact"/>
        <w:rPr>
          <w:rFonts w:ascii="宋体" w:hAnsi="宋体"/>
          <w:bCs/>
          <w:color w:val="auto"/>
          <w:highlight w:val="none"/>
        </w:rPr>
      </w:pPr>
    </w:p>
    <w:p w14:paraId="4075242A">
      <w:pPr>
        <w:spacing w:after="60" w:line="500" w:lineRule="exact"/>
        <w:rPr>
          <w:rFonts w:ascii="宋体" w:hAnsi="宋体"/>
          <w:bCs/>
          <w:color w:val="auto"/>
          <w:highlight w:val="none"/>
        </w:rPr>
      </w:pPr>
    </w:p>
    <w:p w14:paraId="5C60ACF6">
      <w:pPr>
        <w:spacing w:after="60" w:line="700" w:lineRule="exact"/>
        <w:ind w:firstLine="2160"/>
        <w:rPr>
          <w:rFonts w:ascii="宋体" w:hAnsi="宋体"/>
          <w:bCs/>
          <w:color w:val="auto"/>
          <w:highlight w:val="none"/>
          <w:u w:val="single"/>
        </w:rPr>
      </w:pPr>
      <w:r>
        <w:rPr>
          <w:rFonts w:hint="eastAsia" w:ascii="宋体" w:hAnsi="宋体"/>
          <w:bCs/>
          <w:color w:val="auto"/>
          <w:highlight w:val="none"/>
        </w:rPr>
        <w:t>供应商名称：</w:t>
      </w:r>
      <w:r>
        <w:rPr>
          <w:rFonts w:hint="eastAsia" w:ascii="宋体" w:hAnsi="宋体"/>
          <w:bCs/>
          <w:color w:val="auto"/>
          <w:highlight w:val="none"/>
          <w:u w:val="single"/>
        </w:rPr>
        <w:t xml:space="preserve">  （盖法人公章）    </w:t>
      </w:r>
    </w:p>
    <w:p w14:paraId="47FF0A80">
      <w:pPr>
        <w:spacing w:after="60" w:line="700" w:lineRule="exact"/>
        <w:rPr>
          <w:rFonts w:ascii="宋体" w:hAnsi="宋体"/>
          <w:bCs/>
          <w:color w:val="auto"/>
          <w:highlight w:val="none"/>
          <w:u w:val="single"/>
        </w:rPr>
      </w:pPr>
      <w:r>
        <w:rPr>
          <w:rFonts w:hint="eastAsia" w:ascii="宋体" w:hAnsi="宋体"/>
          <w:bCs/>
          <w:color w:val="auto"/>
          <w:highlight w:val="none"/>
        </w:rPr>
        <w:t xml:space="preserve">                  联系人：</w:t>
      </w:r>
    </w:p>
    <w:p w14:paraId="3086C566">
      <w:pPr>
        <w:spacing w:after="60" w:line="700" w:lineRule="exact"/>
        <w:rPr>
          <w:rFonts w:ascii="宋体" w:hAnsi="宋体"/>
          <w:bCs/>
          <w:color w:val="auto"/>
          <w:highlight w:val="none"/>
          <w:u w:val="single"/>
        </w:rPr>
      </w:pPr>
      <w:r>
        <w:rPr>
          <w:rFonts w:hint="eastAsia" w:ascii="宋体" w:hAnsi="宋体"/>
          <w:bCs/>
          <w:color w:val="auto"/>
          <w:highlight w:val="none"/>
        </w:rPr>
        <w:t xml:space="preserve">                  联系电话：</w:t>
      </w:r>
    </w:p>
    <w:p w14:paraId="55BD5BF0">
      <w:pPr>
        <w:spacing w:after="60" w:line="700" w:lineRule="exact"/>
        <w:rPr>
          <w:rFonts w:ascii="宋体" w:hAnsi="宋体"/>
          <w:bCs/>
          <w:color w:val="auto"/>
          <w:highlight w:val="none"/>
        </w:rPr>
      </w:pPr>
      <w:r>
        <w:rPr>
          <w:rFonts w:hint="eastAsia" w:ascii="宋体" w:hAnsi="宋体"/>
          <w:bCs/>
          <w:color w:val="auto"/>
          <w:highlight w:val="none"/>
        </w:rPr>
        <w:t xml:space="preserve">                  邮箱：</w:t>
      </w:r>
    </w:p>
    <w:p w14:paraId="4F291965">
      <w:pPr>
        <w:spacing w:after="60" w:line="700" w:lineRule="exact"/>
        <w:rPr>
          <w:rFonts w:ascii="宋体" w:hAnsi="宋体"/>
          <w:bCs/>
          <w:color w:val="auto"/>
          <w:highlight w:val="none"/>
        </w:rPr>
      </w:pPr>
      <w:r>
        <w:rPr>
          <w:rFonts w:hint="eastAsia" w:ascii="宋体" w:hAnsi="宋体"/>
          <w:bCs/>
          <w:color w:val="auto"/>
          <w:highlight w:val="none"/>
        </w:rPr>
        <w:t xml:space="preserve">                  日 期：   年   月   日   </w:t>
      </w:r>
    </w:p>
    <w:p w14:paraId="54A6D23F">
      <w:pPr>
        <w:spacing w:after="60"/>
        <w:rPr>
          <w:rFonts w:ascii="宋体" w:hAnsi="宋体"/>
          <w:bCs/>
          <w:color w:val="auto"/>
          <w:highlight w:val="none"/>
        </w:rPr>
      </w:pPr>
    </w:p>
    <w:p w14:paraId="23AF6A8D">
      <w:pPr>
        <w:spacing w:after="60"/>
        <w:rPr>
          <w:rFonts w:ascii="宋体" w:hAnsi="宋体"/>
          <w:bCs/>
          <w:color w:val="auto"/>
          <w:szCs w:val="21"/>
          <w:highlight w:val="none"/>
        </w:rPr>
      </w:pPr>
    </w:p>
    <w:p w14:paraId="3907945C">
      <w:pPr>
        <w:jc w:val="left"/>
        <w:rPr>
          <w:rFonts w:ascii="宋体" w:hAnsi="宋体" w:cs="宋体"/>
          <w:color w:val="auto"/>
          <w:highlight w:val="none"/>
        </w:rPr>
      </w:pPr>
    </w:p>
    <w:p w14:paraId="2807954B">
      <w:pPr>
        <w:pStyle w:val="289"/>
        <w:rPr>
          <w:rFonts w:ascii="宋体" w:hAnsi="宋体" w:cs="宋体"/>
          <w:color w:val="auto"/>
          <w:sz w:val="24"/>
          <w:highlight w:val="none"/>
        </w:rPr>
      </w:pPr>
    </w:p>
    <w:p w14:paraId="45F052DD">
      <w:pPr>
        <w:pStyle w:val="290"/>
        <w:rPr>
          <w:rFonts w:ascii="宋体" w:hAnsi="宋体" w:cs="宋体"/>
          <w:color w:val="auto"/>
          <w:highlight w:val="none"/>
        </w:rPr>
      </w:pPr>
    </w:p>
    <w:p w14:paraId="72BF5504">
      <w:pPr>
        <w:jc w:val="left"/>
        <w:rPr>
          <w:rFonts w:ascii="楷体_GB2312" w:hAnsi="楷体_GB2312" w:eastAsia="楷体_GB2312" w:cs="楷体_GB2312"/>
          <w:color w:val="auto"/>
          <w:sz w:val="28"/>
          <w:szCs w:val="28"/>
          <w:highlight w:val="none"/>
        </w:rPr>
      </w:pPr>
      <w:r>
        <w:rPr>
          <w:rFonts w:hint="eastAsia" w:ascii="宋体" w:hAnsi="宋体" w:cs="宋体"/>
          <w:color w:val="auto"/>
          <w:sz w:val="28"/>
          <w:szCs w:val="28"/>
          <w:highlight w:val="none"/>
        </w:rPr>
        <w:t>3.2磋商报价表</w:t>
      </w:r>
    </w:p>
    <w:p w14:paraId="7EB8E262">
      <w:pPr>
        <w:spacing w:after="120"/>
        <w:jc w:val="center"/>
        <w:rPr>
          <w:rFonts w:ascii="宋体" w:hAnsi="宋体"/>
          <w:b/>
          <w:bCs/>
          <w:color w:val="auto"/>
          <w:sz w:val="28"/>
          <w:szCs w:val="28"/>
          <w:highlight w:val="none"/>
        </w:rPr>
      </w:pPr>
      <w:r>
        <w:rPr>
          <w:rFonts w:hint="eastAsia" w:ascii="宋体" w:hAnsi="宋体"/>
          <w:b/>
          <w:bCs/>
          <w:color w:val="auto"/>
          <w:sz w:val="28"/>
          <w:szCs w:val="28"/>
          <w:highlight w:val="none"/>
        </w:rPr>
        <w:t>磋商报价表</w:t>
      </w:r>
    </w:p>
    <w:p w14:paraId="43FA8246">
      <w:pPr>
        <w:spacing w:line="500" w:lineRule="exact"/>
        <w:jc w:val="left"/>
        <w:rPr>
          <w:rFonts w:ascii="宋体" w:hAnsi="宋体" w:cs="宋体"/>
          <w:color w:val="auto"/>
          <w:sz w:val="28"/>
          <w:szCs w:val="28"/>
          <w:highlight w:val="none"/>
        </w:rPr>
      </w:pPr>
      <w:r>
        <w:rPr>
          <w:rFonts w:hint="eastAsia" w:ascii="宋体" w:hAnsi="宋体"/>
          <w:b/>
          <w:bCs/>
          <w:color w:val="auto"/>
          <w:sz w:val="28"/>
          <w:szCs w:val="28"/>
          <w:highlight w:val="none"/>
        </w:rPr>
        <w:t>按“江苏省政府采购管理交易系统（苏采云）”中格式填写。</w:t>
      </w:r>
    </w:p>
    <w:p w14:paraId="1F9A5A0E">
      <w:pPr>
        <w:spacing w:before="156" w:line="360" w:lineRule="auto"/>
        <w:rPr>
          <w:color w:val="auto"/>
          <w:szCs w:val="21"/>
          <w:highlight w:val="none"/>
        </w:rPr>
      </w:pPr>
      <w:r>
        <w:rPr>
          <w:rFonts w:hint="eastAsia" w:ascii="宋体" w:hAnsi="宋体" w:cs="宋体"/>
          <w:color w:val="auto"/>
          <w:sz w:val="28"/>
          <w:szCs w:val="28"/>
          <w:highlight w:val="none"/>
        </w:rPr>
        <w:br w:type="page" w:clear="all"/>
      </w:r>
      <w:r>
        <w:rPr>
          <w:rFonts w:hint="eastAsia" w:ascii="宋体" w:hAnsi="宋体" w:cs="宋体"/>
          <w:color w:val="auto"/>
          <w:sz w:val="28"/>
          <w:szCs w:val="28"/>
          <w:highlight w:val="none"/>
        </w:rPr>
        <w:t>3.3响应函</w:t>
      </w:r>
    </w:p>
    <w:p w14:paraId="0DEB60C4">
      <w:pPr>
        <w:spacing w:line="50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响 应 函</w:t>
      </w:r>
    </w:p>
    <w:p w14:paraId="2F69F95A">
      <w:pPr>
        <w:spacing w:line="360" w:lineRule="exact"/>
        <w:ind w:firstLine="560"/>
        <w:jc w:val="center"/>
        <w:rPr>
          <w:rFonts w:ascii="宋体" w:hAnsi="宋体" w:cs="宋体"/>
          <w:color w:val="auto"/>
          <w:szCs w:val="21"/>
          <w:highlight w:val="none"/>
        </w:rPr>
      </w:pPr>
    </w:p>
    <w:p w14:paraId="416E6463">
      <w:pPr>
        <w:spacing w:line="360" w:lineRule="auto"/>
        <w:rPr>
          <w:rFonts w:ascii="宋体" w:hAnsi="宋体"/>
          <w:bCs/>
          <w:color w:val="auto"/>
          <w:highlight w:val="none"/>
        </w:rPr>
      </w:pPr>
      <w:r>
        <w:rPr>
          <w:rFonts w:hint="eastAsia" w:ascii="宋体" w:hAnsi="宋体"/>
          <w:bCs/>
          <w:color w:val="auto"/>
          <w:highlight w:val="none"/>
        </w:rPr>
        <w:t>致</w:t>
      </w:r>
      <w:r>
        <w:rPr>
          <w:rFonts w:hint="eastAsia" w:ascii="宋体" w:hAnsi="宋体"/>
          <w:bCs/>
          <w:color w:val="auto"/>
          <w:highlight w:val="none"/>
          <w:u w:val="single"/>
          <w:lang w:eastAsia="zh-CN"/>
        </w:rPr>
        <w:t>泰兴市滨江镇人民政府</w:t>
      </w:r>
      <w:r>
        <w:rPr>
          <w:rFonts w:hint="eastAsia" w:ascii="宋体" w:hAnsi="宋体"/>
          <w:bCs/>
          <w:color w:val="auto"/>
          <w:highlight w:val="none"/>
        </w:rPr>
        <w:t>：</w:t>
      </w:r>
    </w:p>
    <w:p w14:paraId="26DACB65">
      <w:pPr>
        <w:spacing w:line="360" w:lineRule="auto"/>
        <w:ind w:firstLine="480"/>
        <w:rPr>
          <w:rFonts w:ascii="宋体" w:hAnsi="宋体"/>
          <w:bCs/>
          <w:color w:val="auto"/>
          <w:highlight w:val="none"/>
        </w:rPr>
      </w:pPr>
      <w:r>
        <w:rPr>
          <w:rFonts w:hint="eastAsia" w:ascii="宋体" w:hAnsi="宋体"/>
          <w:bCs/>
          <w:color w:val="auto"/>
          <w:highlight w:val="none"/>
        </w:rPr>
        <w:t>我方收到贵方编号</w:t>
      </w:r>
      <w:r>
        <w:rPr>
          <w:rFonts w:hint="eastAsia" w:ascii="宋体" w:hAnsi="宋体"/>
          <w:bCs/>
          <w:color w:val="auto"/>
          <w:highlight w:val="none"/>
          <w:u w:val="single"/>
        </w:rPr>
        <w:t xml:space="preserve"> </w:t>
      </w:r>
      <w:r>
        <w:rPr>
          <w:rFonts w:hint="eastAsia" w:ascii="宋体" w:hAnsi="宋体"/>
          <w:bCs/>
          <w:color w:val="auto"/>
          <w:highlight w:val="none"/>
          <w:u w:val="single"/>
          <w:lang w:val="en-US" w:eastAsia="zh-CN"/>
        </w:rPr>
        <w:t xml:space="preserve">            </w:t>
      </w:r>
      <w:r>
        <w:rPr>
          <w:rFonts w:hint="eastAsia" w:ascii="宋体" w:hAnsi="宋体"/>
          <w:bCs/>
          <w:color w:val="auto"/>
          <w:highlight w:val="none"/>
        </w:rPr>
        <w:t xml:space="preserve"> 竞争性磋商文件，经仔细阅读和研究，我方决定参加此项目的报价。</w:t>
      </w:r>
    </w:p>
    <w:p w14:paraId="66F86089">
      <w:pPr>
        <w:numPr>
          <w:ilvl w:val="0"/>
          <w:numId w:val="1"/>
        </w:numPr>
        <w:tabs>
          <w:tab w:val="left" w:pos="315"/>
          <w:tab w:val="left" w:pos="735"/>
          <w:tab w:val="left" w:pos="840"/>
          <w:tab w:val="left" w:pos="945"/>
          <w:tab w:val="left" w:pos="1050"/>
        </w:tabs>
        <w:spacing w:line="360" w:lineRule="auto"/>
        <w:ind w:left="0" w:firstLine="525"/>
        <w:rPr>
          <w:rFonts w:ascii="宋体" w:hAnsi="宋体"/>
          <w:bCs/>
          <w:color w:val="auto"/>
          <w:highlight w:val="none"/>
        </w:rPr>
      </w:pPr>
      <w:r>
        <w:rPr>
          <w:rFonts w:hint="eastAsia" w:ascii="宋体" w:hAnsi="宋体"/>
          <w:bCs/>
          <w:color w:val="auto"/>
          <w:highlight w:val="none"/>
        </w:rPr>
        <w:t>我方愿意按照竞争性磋商文件的一切要求，提供本项目的报价，总报价见《磋商报价表》。</w:t>
      </w:r>
    </w:p>
    <w:p w14:paraId="1955AE2A">
      <w:pPr>
        <w:numPr>
          <w:ilvl w:val="0"/>
          <w:numId w:val="1"/>
        </w:numPr>
        <w:tabs>
          <w:tab w:val="left" w:pos="0"/>
          <w:tab w:val="left" w:pos="315"/>
          <w:tab w:val="left" w:pos="525"/>
          <w:tab w:val="left" w:pos="840"/>
          <w:tab w:val="left" w:pos="945"/>
          <w:tab w:val="left" w:pos="1050"/>
        </w:tabs>
        <w:spacing w:line="360" w:lineRule="auto"/>
        <w:ind w:left="0" w:firstLine="523"/>
        <w:rPr>
          <w:rStyle w:val="291"/>
          <w:bCs/>
          <w:color w:val="auto"/>
          <w:sz w:val="24"/>
          <w:highlight w:val="none"/>
        </w:rPr>
      </w:pPr>
      <w:r>
        <w:rPr>
          <w:rFonts w:hint="eastAsia" w:ascii="宋体" w:hAnsi="宋体"/>
          <w:bCs/>
          <w:color w:val="auto"/>
          <w:highlight w:val="none"/>
        </w:rPr>
        <w:t>我方愿意提供</w:t>
      </w:r>
      <w:r>
        <w:rPr>
          <w:rFonts w:hint="eastAsia" w:ascii="宋体" w:hAnsi="宋体"/>
          <w:bCs/>
          <w:color w:val="auto"/>
          <w:highlight w:val="none"/>
          <w:lang w:eastAsia="zh-CN"/>
        </w:rPr>
        <w:t>泰州市天平工程咨询有限公司</w:t>
      </w:r>
      <w:r>
        <w:rPr>
          <w:rFonts w:hint="eastAsia" w:ascii="宋体" w:hAnsi="宋体"/>
          <w:bCs/>
          <w:color w:val="auto"/>
          <w:highlight w:val="none"/>
        </w:rPr>
        <w:t>在竞争性磋商文件中要求的文件、资料。</w:t>
      </w:r>
    </w:p>
    <w:p w14:paraId="22BE572E">
      <w:pPr>
        <w:numPr>
          <w:ilvl w:val="0"/>
          <w:numId w:val="1"/>
        </w:numPr>
        <w:tabs>
          <w:tab w:val="left" w:pos="0"/>
          <w:tab w:val="left" w:pos="315"/>
          <w:tab w:val="left" w:pos="525"/>
          <w:tab w:val="left" w:pos="630"/>
          <w:tab w:val="left" w:pos="945"/>
          <w:tab w:val="left" w:pos="1050"/>
        </w:tabs>
        <w:spacing w:line="360" w:lineRule="auto"/>
        <w:ind w:left="0" w:firstLine="523"/>
        <w:rPr>
          <w:rFonts w:ascii="宋体" w:hAnsi="宋体"/>
          <w:bCs/>
          <w:color w:val="auto"/>
          <w:highlight w:val="none"/>
        </w:rPr>
      </w:pPr>
      <w:r>
        <w:rPr>
          <w:rFonts w:hint="eastAsia" w:ascii="宋体" w:hAnsi="宋体"/>
          <w:bCs/>
          <w:color w:val="auto"/>
          <w:highlight w:val="none"/>
        </w:rPr>
        <w:t>我方同意按竞争性磋商文件中的规定，本响应文件报价的有效期限为报价截止之日起</w:t>
      </w:r>
      <w:r>
        <w:rPr>
          <w:rFonts w:hint="eastAsia" w:ascii="宋体" w:hAnsi="宋体"/>
          <w:bCs/>
          <w:color w:val="auto"/>
          <w:highlight w:val="none"/>
          <w:lang w:val="en-US" w:eastAsia="zh-CN"/>
        </w:rPr>
        <w:t>60天</w:t>
      </w:r>
      <w:r>
        <w:rPr>
          <w:rFonts w:hint="eastAsia" w:ascii="宋体" w:hAnsi="宋体"/>
          <w:bCs/>
          <w:color w:val="auto"/>
          <w:highlight w:val="none"/>
        </w:rPr>
        <w:t>。</w:t>
      </w:r>
    </w:p>
    <w:p w14:paraId="2BD10280">
      <w:pPr>
        <w:numPr>
          <w:ilvl w:val="0"/>
          <w:numId w:val="1"/>
        </w:numPr>
        <w:tabs>
          <w:tab w:val="left" w:pos="0"/>
          <w:tab w:val="left" w:pos="315"/>
          <w:tab w:val="left" w:pos="525"/>
          <w:tab w:val="left" w:pos="945"/>
          <w:tab w:val="left" w:pos="1050"/>
        </w:tabs>
        <w:spacing w:line="360" w:lineRule="auto"/>
        <w:ind w:left="0" w:firstLine="523"/>
        <w:rPr>
          <w:rFonts w:ascii="宋体" w:hAnsi="宋体"/>
          <w:bCs/>
          <w:color w:val="auto"/>
          <w:highlight w:val="none"/>
        </w:rPr>
      </w:pPr>
      <w:r>
        <w:rPr>
          <w:rFonts w:hint="eastAsia" w:ascii="宋体" w:hAnsi="宋体"/>
          <w:bCs/>
          <w:color w:val="auto"/>
          <w:highlight w:val="none"/>
        </w:rPr>
        <w:t>如果我方的响应文件被接受，我方将履行竞争性磋商文件中规定的每一项要求，按期、按质、按量，完成竞争性磋商文件要求的所有工作内容。</w:t>
      </w:r>
    </w:p>
    <w:p w14:paraId="06404CCE">
      <w:pPr>
        <w:numPr>
          <w:ilvl w:val="0"/>
          <w:numId w:val="1"/>
        </w:numPr>
        <w:tabs>
          <w:tab w:val="left" w:pos="0"/>
          <w:tab w:val="left" w:pos="315"/>
          <w:tab w:val="left" w:pos="525"/>
          <w:tab w:val="left" w:pos="945"/>
          <w:tab w:val="left" w:pos="1050"/>
        </w:tabs>
        <w:spacing w:line="360" w:lineRule="auto"/>
        <w:ind w:left="0" w:firstLine="523"/>
        <w:rPr>
          <w:rFonts w:ascii="宋体" w:hAnsi="宋体"/>
          <w:bCs/>
          <w:color w:val="auto"/>
          <w:highlight w:val="none"/>
        </w:rPr>
      </w:pPr>
      <w:r>
        <w:rPr>
          <w:rFonts w:hint="eastAsia" w:ascii="宋体" w:hAnsi="宋体"/>
          <w:bCs/>
          <w:color w:val="auto"/>
          <w:highlight w:val="none"/>
        </w:rPr>
        <w:t>我方愿意遵守《中华人民共和国政府采购法》，并按《中华人民共和国民法典》和合同条款履行自己的全部责任。</w:t>
      </w:r>
    </w:p>
    <w:p w14:paraId="77C7D381">
      <w:pPr>
        <w:numPr>
          <w:ilvl w:val="0"/>
          <w:numId w:val="1"/>
        </w:numPr>
        <w:tabs>
          <w:tab w:val="left" w:pos="0"/>
          <w:tab w:val="left" w:pos="315"/>
          <w:tab w:val="left" w:pos="525"/>
          <w:tab w:val="left" w:pos="945"/>
          <w:tab w:val="left" w:pos="1050"/>
        </w:tabs>
        <w:spacing w:line="360" w:lineRule="auto"/>
        <w:ind w:left="0" w:firstLine="523"/>
        <w:rPr>
          <w:rFonts w:ascii="宋体" w:hAnsi="宋体"/>
          <w:bCs/>
          <w:color w:val="auto"/>
          <w:highlight w:val="none"/>
        </w:rPr>
      </w:pPr>
      <w:r>
        <w:rPr>
          <w:rFonts w:hint="eastAsia" w:ascii="宋体" w:hAnsi="宋体"/>
          <w:bCs/>
          <w:color w:val="auto"/>
          <w:highlight w:val="none"/>
        </w:rPr>
        <w:t>我方认可并保证遵守竞争性磋商文件的所有规定，放弃对竞争性磋商文件提出质疑的权利。</w:t>
      </w:r>
    </w:p>
    <w:p w14:paraId="01B46A0A">
      <w:pPr>
        <w:numPr>
          <w:ilvl w:val="0"/>
          <w:numId w:val="1"/>
        </w:numPr>
        <w:tabs>
          <w:tab w:val="left" w:pos="0"/>
          <w:tab w:val="left" w:pos="315"/>
          <w:tab w:val="left" w:pos="525"/>
          <w:tab w:val="left" w:pos="945"/>
          <w:tab w:val="left" w:pos="1050"/>
        </w:tabs>
        <w:spacing w:line="360" w:lineRule="auto"/>
        <w:ind w:left="0" w:firstLine="523"/>
        <w:rPr>
          <w:rFonts w:ascii="宋体" w:hAnsi="宋体"/>
          <w:bCs/>
          <w:color w:val="auto"/>
          <w:highlight w:val="none"/>
        </w:rPr>
      </w:pPr>
      <w:r>
        <w:rPr>
          <w:rFonts w:hint="eastAsia" w:ascii="宋体" w:hAnsi="宋体"/>
          <w:bCs/>
          <w:color w:val="auto"/>
          <w:highlight w:val="none"/>
        </w:rPr>
        <w:t>如果我方被确定为成交供应商，我方愿意</w:t>
      </w:r>
      <w:r>
        <w:rPr>
          <w:rFonts w:hint="eastAsia" w:ascii="宋体" w:hAnsi="宋体"/>
          <w:color w:val="auto"/>
          <w:highlight w:val="none"/>
        </w:rPr>
        <w:t>按照要求缴纳履约保证金</w:t>
      </w:r>
      <w:r>
        <w:rPr>
          <w:rFonts w:hint="eastAsia" w:ascii="宋体" w:hAnsi="宋体"/>
          <w:bCs/>
          <w:color w:val="auto"/>
          <w:highlight w:val="none"/>
        </w:rPr>
        <w:t>。且我方如无不可抗力，又未履行竞争性磋商文件、响应文件和合同条款的，一经查实，我方愿意赔偿由此而造成的一切损失，并同意接受按竞争性磋商文件的相关要求对我方进行的处理。</w:t>
      </w:r>
    </w:p>
    <w:p w14:paraId="17258F50">
      <w:pPr>
        <w:spacing w:line="360" w:lineRule="auto"/>
        <w:ind w:firstLine="720"/>
        <w:rPr>
          <w:rFonts w:ascii="宋体" w:hAnsi="宋体"/>
          <w:bCs/>
          <w:color w:val="auto"/>
          <w:highlight w:val="none"/>
        </w:rPr>
      </w:pPr>
    </w:p>
    <w:p w14:paraId="07FB3371">
      <w:pPr>
        <w:spacing w:line="400" w:lineRule="exact"/>
        <w:ind w:firstLine="480"/>
        <w:rPr>
          <w:rFonts w:ascii="宋体" w:hAnsi="宋体"/>
          <w:bCs/>
          <w:color w:val="auto"/>
          <w:highlight w:val="none"/>
        </w:rPr>
      </w:pPr>
      <w:r>
        <w:rPr>
          <w:rFonts w:hint="eastAsia" w:ascii="宋体" w:hAnsi="宋体"/>
          <w:bCs/>
          <w:color w:val="auto"/>
          <w:highlight w:val="none"/>
        </w:rPr>
        <w:t>供应商名称（盖章）：</w:t>
      </w:r>
    </w:p>
    <w:p w14:paraId="341F9FC0">
      <w:pPr>
        <w:spacing w:line="400" w:lineRule="exact"/>
        <w:ind w:firstLine="480"/>
        <w:rPr>
          <w:rFonts w:ascii="宋体" w:hAnsi="宋体"/>
          <w:bCs/>
          <w:color w:val="auto"/>
          <w:highlight w:val="none"/>
        </w:rPr>
      </w:pPr>
      <w:r>
        <w:rPr>
          <w:rFonts w:hint="eastAsia" w:ascii="宋体" w:hAnsi="宋体"/>
          <w:bCs/>
          <w:color w:val="auto"/>
          <w:highlight w:val="none"/>
        </w:rPr>
        <w:t>法定代表人（签字或盖章）：</w:t>
      </w:r>
    </w:p>
    <w:p w14:paraId="167FF63D">
      <w:pPr>
        <w:spacing w:line="400" w:lineRule="exact"/>
        <w:ind w:firstLine="480"/>
        <w:rPr>
          <w:rFonts w:ascii="宋体" w:hAnsi="宋体"/>
          <w:bCs/>
          <w:color w:val="auto"/>
          <w:highlight w:val="none"/>
        </w:rPr>
      </w:pPr>
      <w:r>
        <w:rPr>
          <w:rFonts w:hint="eastAsia" w:ascii="宋体" w:hAnsi="宋体"/>
          <w:bCs/>
          <w:color w:val="auto"/>
          <w:highlight w:val="none"/>
        </w:rPr>
        <w:t>电话：                              传真：</w:t>
      </w:r>
    </w:p>
    <w:p w14:paraId="73BD7907">
      <w:pPr>
        <w:spacing w:line="400" w:lineRule="exact"/>
        <w:ind w:firstLine="480"/>
        <w:rPr>
          <w:rFonts w:ascii="宋体" w:hAnsi="宋体"/>
          <w:bCs/>
          <w:color w:val="auto"/>
          <w:highlight w:val="none"/>
        </w:rPr>
      </w:pPr>
      <w:r>
        <w:rPr>
          <w:rFonts w:hint="eastAsia" w:ascii="宋体" w:hAnsi="宋体"/>
          <w:bCs/>
          <w:color w:val="auto"/>
          <w:highlight w:val="none"/>
        </w:rPr>
        <w:t>通讯地址：                          邮编：</w:t>
      </w:r>
    </w:p>
    <w:p w14:paraId="31B0CE06">
      <w:pPr>
        <w:spacing w:line="400" w:lineRule="exact"/>
        <w:ind w:firstLine="480"/>
        <w:rPr>
          <w:color w:val="auto"/>
          <w:highlight w:val="none"/>
        </w:rPr>
      </w:pPr>
      <w:r>
        <w:rPr>
          <w:color w:val="auto"/>
          <w:highlight w:val="none"/>
        </w:rPr>
        <w:t>邮箱：</w:t>
      </w:r>
    </w:p>
    <w:p w14:paraId="7B0A3CC2">
      <w:pPr>
        <w:jc w:val="center"/>
        <w:rPr>
          <w:rFonts w:eastAsia="黑体"/>
          <w:color w:val="auto"/>
          <w:highlight w:val="none"/>
        </w:rPr>
      </w:pPr>
      <w:r>
        <w:rPr>
          <w:rFonts w:ascii="宋体" w:hAnsi="宋体"/>
          <w:b/>
          <w:bCs/>
          <w:color w:val="auto"/>
          <w:szCs w:val="21"/>
          <w:highlight w:val="none"/>
        </w:rPr>
        <w:br w:type="page" w:clear="all"/>
      </w:r>
      <w:r>
        <w:rPr>
          <w:rFonts w:hint="eastAsia" w:ascii="黑体" w:eastAsia="黑体"/>
          <w:bCs/>
          <w:color w:val="auto"/>
          <w:sz w:val="28"/>
          <w:szCs w:val="28"/>
          <w:highlight w:val="none"/>
        </w:rPr>
        <w:t>响应函附录</w:t>
      </w:r>
    </w:p>
    <w:p w14:paraId="03621AC4">
      <w:pPr>
        <w:pStyle w:val="292"/>
        <w:rPr>
          <w:color w:val="auto"/>
          <w:highlight w:val="none"/>
        </w:rPr>
      </w:pPr>
    </w:p>
    <w:tbl>
      <w:tblPr>
        <w:tblStyle w:val="45"/>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7"/>
        <w:gridCol w:w="2521"/>
        <w:gridCol w:w="5589"/>
      </w:tblGrid>
      <w:tr w14:paraId="12257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6" w:hRule="atLeast"/>
          <w:jc w:val="center"/>
        </w:trPr>
        <w:tc>
          <w:tcPr>
            <w:tcW w:w="847" w:type="dxa"/>
            <w:noWrap w:val="0"/>
            <w:vAlign w:val="center"/>
          </w:tcPr>
          <w:p w14:paraId="2B04FA60">
            <w:pPr>
              <w:spacing w:line="440" w:lineRule="exact"/>
              <w:jc w:val="center"/>
              <w:rPr>
                <w:rFonts w:ascii="宋体" w:hAnsi="宋体" w:cs="宋体"/>
                <w:color w:val="auto"/>
                <w:highlight w:val="none"/>
              </w:rPr>
            </w:pPr>
            <w:r>
              <w:rPr>
                <w:rFonts w:hint="eastAsia" w:ascii="宋体" w:hAnsi="宋体" w:cs="宋体"/>
                <w:color w:val="auto"/>
                <w:highlight w:val="none"/>
              </w:rPr>
              <w:t>1</w:t>
            </w:r>
          </w:p>
        </w:tc>
        <w:tc>
          <w:tcPr>
            <w:tcW w:w="2521" w:type="dxa"/>
            <w:noWrap w:val="0"/>
            <w:vAlign w:val="center"/>
          </w:tcPr>
          <w:p w14:paraId="02F1E69B">
            <w:pPr>
              <w:spacing w:line="440" w:lineRule="exact"/>
              <w:jc w:val="center"/>
              <w:rPr>
                <w:rFonts w:ascii="宋体" w:hAnsi="宋体" w:cs="宋体"/>
                <w:color w:val="auto"/>
                <w:highlight w:val="none"/>
              </w:rPr>
            </w:pPr>
            <w:r>
              <w:rPr>
                <w:rFonts w:hint="eastAsia" w:ascii="宋体" w:hAnsi="宋体" w:cs="宋体"/>
                <w:color w:val="auto"/>
                <w:highlight w:val="none"/>
              </w:rPr>
              <w:t>项目（标包）名称</w:t>
            </w:r>
          </w:p>
        </w:tc>
        <w:tc>
          <w:tcPr>
            <w:tcW w:w="5589" w:type="dxa"/>
            <w:noWrap w:val="0"/>
            <w:vAlign w:val="center"/>
          </w:tcPr>
          <w:p w14:paraId="074E45D4">
            <w:pPr>
              <w:spacing w:line="440" w:lineRule="exact"/>
              <w:jc w:val="center"/>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印桥社区雨水支管更换工程 </w:t>
            </w:r>
          </w:p>
        </w:tc>
      </w:tr>
      <w:tr w14:paraId="7AA49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noWrap w:val="0"/>
            <w:vAlign w:val="center"/>
          </w:tcPr>
          <w:p w14:paraId="12E51199">
            <w:pPr>
              <w:spacing w:line="440" w:lineRule="exact"/>
              <w:jc w:val="center"/>
              <w:rPr>
                <w:rFonts w:ascii="宋体" w:hAnsi="宋体" w:cs="宋体"/>
                <w:color w:val="auto"/>
                <w:highlight w:val="none"/>
              </w:rPr>
            </w:pPr>
            <w:r>
              <w:rPr>
                <w:rFonts w:hint="eastAsia" w:ascii="宋体" w:hAnsi="宋体" w:cs="宋体"/>
                <w:color w:val="auto"/>
                <w:highlight w:val="none"/>
              </w:rPr>
              <w:t>2</w:t>
            </w:r>
          </w:p>
        </w:tc>
        <w:tc>
          <w:tcPr>
            <w:tcW w:w="2521" w:type="dxa"/>
            <w:noWrap w:val="0"/>
            <w:vAlign w:val="center"/>
          </w:tcPr>
          <w:p w14:paraId="09F2E192">
            <w:pPr>
              <w:spacing w:line="440" w:lineRule="exact"/>
              <w:jc w:val="center"/>
              <w:rPr>
                <w:rFonts w:ascii="宋体" w:hAnsi="宋体" w:cs="宋体"/>
                <w:color w:val="auto"/>
                <w:highlight w:val="none"/>
              </w:rPr>
            </w:pPr>
            <w:r>
              <w:rPr>
                <w:rFonts w:hint="eastAsia" w:ascii="宋体" w:hAnsi="宋体" w:cs="宋体"/>
                <w:color w:val="auto"/>
                <w:highlight w:val="none"/>
              </w:rPr>
              <w:t>项目编号</w:t>
            </w:r>
          </w:p>
        </w:tc>
        <w:tc>
          <w:tcPr>
            <w:tcW w:w="5589" w:type="dxa"/>
            <w:noWrap w:val="0"/>
            <w:vAlign w:val="center"/>
          </w:tcPr>
          <w:p w14:paraId="63811624">
            <w:pPr>
              <w:spacing w:line="440" w:lineRule="exact"/>
              <w:jc w:val="center"/>
              <w:rPr>
                <w:rFonts w:hint="default" w:ascii="宋体" w:hAnsi="宋体" w:eastAsia="宋体" w:cs="宋体"/>
                <w:color w:val="auto"/>
                <w:highlight w:val="none"/>
                <w:u w:val="single"/>
                <w:lang w:val="en-US" w:eastAsia="zh-CN"/>
              </w:rPr>
            </w:pPr>
            <w:r>
              <w:rPr>
                <w:rFonts w:hint="eastAsia" w:ascii="宋体" w:hAnsi="宋体" w:cs="宋体"/>
                <w:color w:val="auto"/>
                <w:highlight w:val="none"/>
                <w:u w:val="single"/>
                <w:lang w:val="en-US" w:eastAsia="zh-CN"/>
              </w:rPr>
              <w:t xml:space="preserve"> </w:t>
            </w:r>
          </w:p>
        </w:tc>
      </w:tr>
      <w:tr w14:paraId="7FE51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noWrap w:val="0"/>
            <w:vAlign w:val="center"/>
          </w:tcPr>
          <w:p w14:paraId="313BF8E7">
            <w:pPr>
              <w:spacing w:line="440" w:lineRule="exact"/>
              <w:jc w:val="center"/>
              <w:rPr>
                <w:rFonts w:ascii="宋体" w:hAnsi="宋体" w:cs="宋体"/>
                <w:color w:val="auto"/>
                <w:highlight w:val="none"/>
              </w:rPr>
            </w:pPr>
            <w:r>
              <w:rPr>
                <w:rFonts w:hint="eastAsia" w:ascii="宋体" w:hAnsi="宋体" w:cs="宋体"/>
                <w:color w:val="auto"/>
                <w:highlight w:val="none"/>
              </w:rPr>
              <w:t>3</w:t>
            </w:r>
          </w:p>
        </w:tc>
        <w:tc>
          <w:tcPr>
            <w:tcW w:w="2521" w:type="dxa"/>
            <w:noWrap w:val="0"/>
            <w:vAlign w:val="center"/>
          </w:tcPr>
          <w:p w14:paraId="78AF2651">
            <w:pPr>
              <w:spacing w:line="440" w:lineRule="exact"/>
              <w:jc w:val="center"/>
              <w:rPr>
                <w:rFonts w:ascii="宋体" w:hAnsi="宋体" w:cs="宋体"/>
                <w:color w:val="auto"/>
                <w:highlight w:val="none"/>
              </w:rPr>
            </w:pPr>
            <w:r>
              <w:rPr>
                <w:rFonts w:hint="eastAsia" w:ascii="宋体" w:hAnsi="宋体" w:cs="宋体"/>
                <w:color w:val="auto"/>
                <w:highlight w:val="none"/>
              </w:rPr>
              <w:t>投标总报价</w:t>
            </w:r>
          </w:p>
        </w:tc>
        <w:tc>
          <w:tcPr>
            <w:tcW w:w="5589" w:type="dxa"/>
            <w:noWrap w:val="0"/>
            <w:vAlign w:val="center"/>
          </w:tcPr>
          <w:p w14:paraId="0F0CEBF1">
            <w:pPr>
              <w:spacing w:line="440" w:lineRule="exact"/>
              <w:jc w:val="center"/>
              <w:rPr>
                <w:rFonts w:ascii="宋体" w:hAnsi="宋体" w:cs="宋体"/>
                <w:color w:val="auto"/>
                <w:highlight w:val="none"/>
              </w:rPr>
            </w:pPr>
            <w:r>
              <w:rPr>
                <w:rFonts w:hint="eastAsia" w:ascii="宋体" w:hAnsi="宋体" w:cs="宋体"/>
                <w:color w:val="auto"/>
                <w:highlight w:val="none"/>
              </w:rPr>
              <w:t>以苏采云系统中提交的最终报价为准</w:t>
            </w:r>
          </w:p>
        </w:tc>
      </w:tr>
      <w:tr w14:paraId="722574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noWrap w:val="0"/>
            <w:vAlign w:val="center"/>
          </w:tcPr>
          <w:p w14:paraId="3E6D6672">
            <w:pPr>
              <w:spacing w:line="440" w:lineRule="exact"/>
              <w:jc w:val="center"/>
              <w:rPr>
                <w:rFonts w:ascii="宋体" w:hAnsi="宋体" w:cs="宋体"/>
                <w:color w:val="auto"/>
                <w:highlight w:val="none"/>
              </w:rPr>
            </w:pPr>
            <w:r>
              <w:rPr>
                <w:rFonts w:hint="eastAsia" w:ascii="宋体" w:hAnsi="宋体" w:cs="宋体"/>
                <w:color w:val="auto"/>
                <w:highlight w:val="none"/>
              </w:rPr>
              <w:t>4</w:t>
            </w:r>
          </w:p>
        </w:tc>
        <w:tc>
          <w:tcPr>
            <w:tcW w:w="2521" w:type="dxa"/>
            <w:noWrap w:val="0"/>
            <w:vAlign w:val="center"/>
          </w:tcPr>
          <w:p w14:paraId="523E38DB">
            <w:pPr>
              <w:spacing w:line="440" w:lineRule="exact"/>
              <w:jc w:val="center"/>
              <w:rPr>
                <w:rFonts w:ascii="宋体" w:hAnsi="宋体" w:cs="宋体"/>
                <w:color w:val="auto"/>
                <w:highlight w:val="none"/>
              </w:rPr>
            </w:pPr>
            <w:r>
              <w:rPr>
                <w:rFonts w:hint="eastAsia" w:ascii="宋体" w:hAnsi="宋体" w:cs="宋体"/>
                <w:color w:val="auto"/>
                <w:highlight w:val="none"/>
              </w:rPr>
              <w:t>拟派项目负责人</w:t>
            </w:r>
          </w:p>
        </w:tc>
        <w:tc>
          <w:tcPr>
            <w:tcW w:w="5589" w:type="dxa"/>
            <w:noWrap w:val="0"/>
            <w:vAlign w:val="center"/>
          </w:tcPr>
          <w:p w14:paraId="1CB81DF6">
            <w:pPr>
              <w:spacing w:line="440" w:lineRule="exact"/>
              <w:ind w:firstLine="1680"/>
              <w:rPr>
                <w:rFonts w:hint="default" w:ascii="宋体" w:hAnsi="宋体" w:eastAsia="宋体" w:cs="宋体"/>
                <w:color w:val="auto"/>
                <w:highlight w:val="none"/>
                <w:u w:val="single"/>
                <w:lang w:val="en-US" w:eastAsia="zh-CN"/>
              </w:rPr>
            </w:pPr>
            <w:r>
              <w:rPr>
                <w:rFonts w:hint="eastAsia" w:ascii="宋体" w:hAnsi="宋体" w:cs="宋体"/>
                <w:color w:val="auto"/>
                <w:highlight w:val="none"/>
              </w:rPr>
              <w:t>姓名：</w:t>
            </w:r>
            <w:r>
              <w:rPr>
                <w:rFonts w:hint="eastAsia" w:ascii="宋体" w:hAnsi="宋体" w:cs="宋体"/>
                <w:color w:val="auto"/>
                <w:highlight w:val="none"/>
                <w:u w:val="single"/>
                <w:lang w:val="en-US" w:eastAsia="zh-CN"/>
              </w:rPr>
              <w:t xml:space="preserve">      </w:t>
            </w:r>
          </w:p>
        </w:tc>
      </w:tr>
      <w:tr w14:paraId="49688C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noWrap w:val="0"/>
            <w:vAlign w:val="center"/>
          </w:tcPr>
          <w:p w14:paraId="58A7B696">
            <w:pPr>
              <w:spacing w:line="440" w:lineRule="exact"/>
              <w:jc w:val="center"/>
              <w:rPr>
                <w:rFonts w:ascii="宋体" w:hAnsi="宋体" w:cs="宋体"/>
                <w:color w:val="auto"/>
                <w:highlight w:val="none"/>
              </w:rPr>
            </w:pPr>
            <w:r>
              <w:rPr>
                <w:rFonts w:hint="eastAsia" w:ascii="宋体" w:hAnsi="宋体" w:cs="宋体"/>
                <w:color w:val="auto"/>
                <w:highlight w:val="none"/>
              </w:rPr>
              <w:t>5</w:t>
            </w:r>
          </w:p>
        </w:tc>
        <w:tc>
          <w:tcPr>
            <w:tcW w:w="2521" w:type="dxa"/>
            <w:noWrap w:val="0"/>
            <w:vAlign w:val="center"/>
          </w:tcPr>
          <w:p w14:paraId="05AA5372">
            <w:pPr>
              <w:spacing w:line="440" w:lineRule="exact"/>
              <w:jc w:val="center"/>
              <w:rPr>
                <w:rFonts w:ascii="宋体" w:hAnsi="宋体" w:cs="宋体"/>
                <w:color w:val="auto"/>
                <w:highlight w:val="none"/>
              </w:rPr>
            </w:pPr>
            <w:r>
              <w:rPr>
                <w:rFonts w:hint="eastAsia" w:ascii="宋体" w:hAnsi="宋体" w:cs="宋体"/>
                <w:color w:val="auto"/>
                <w:highlight w:val="none"/>
              </w:rPr>
              <w:t>合同履行期限</w:t>
            </w:r>
          </w:p>
        </w:tc>
        <w:tc>
          <w:tcPr>
            <w:tcW w:w="5589" w:type="dxa"/>
            <w:noWrap w:val="0"/>
            <w:vAlign w:val="center"/>
          </w:tcPr>
          <w:p w14:paraId="36568CAF">
            <w:pPr>
              <w:spacing w:line="440" w:lineRule="exact"/>
              <w:jc w:val="center"/>
              <w:rPr>
                <w:rFonts w:ascii="宋体" w:hAnsi="宋体" w:cs="宋体"/>
                <w:color w:val="auto"/>
                <w:highlight w:val="none"/>
              </w:rPr>
            </w:pP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日历天</w:t>
            </w:r>
          </w:p>
        </w:tc>
      </w:tr>
      <w:tr w14:paraId="04345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noWrap w:val="0"/>
            <w:vAlign w:val="center"/>
          </w:tcPr>
          <w:p w14:paraId="60DE1AC9">
            <w:pPr>
              <w:spacing w:line="440" w:lineRule="exact"/>
              <w:jc w:val="center"/>
              <w:rPr>
                <w:rFonts w:ascii="宋体" w:hAnsi="宋体" w:cs="宋体"/>
                <w:color w:val="auto"/>
                <w:highlight w:val="none"/>
              </w:rPr>
            </w:pPr>
            <w:r>
              <w:rPr>
                <w:rFonts w:hint="eastAsia" w:ascii="宋体" w:hAnsi="宋体" w:cs="宋体"/>
                <w:color w:val="auto"/>
                <w:highlight w:val="none"/>
              </w:rPr>
              <w:t>6</w:t>
            </w:r>
          </w:p>
        </w:tc>
        <w:tc>
          <w:tcPr>
            <w:tcW w:w="2521" w:type="dxa"/>
            <w:noWrap w:val="0"/>
            <w:vAlign w:val="center"/>
          </w:tcPr>
          <w:p w14:paraId="2CA1A23E">
            <w:pPr>
              <w:spacing w:line="440" w:lineRule="exact"/>
              <w:jc w:val="center"/>
              <w:rPr>
                <w:rFonts w:ascii="宋体" w:hAnsi="宋体" w:cs="宋体"/>
                <w:color w:val="auto"/>
                <w:highlight w:val="none"/>
              </w:rPr>
            </w:pPr>
            <w:r>
              <w:rPr>
                <w:rFonts w:hint="eastAsia" w:ascii="宋体" w:hAnsi="宋体" w:cs="宋体"/>
                <w:color w:val="auto"/>
                <w:highlight w:val="none"/>
              </w:rPr>
              <w:t>质量标准</w:t>
            </w:r>
          </w:p>
        </w:tc>
        <w:tc>
          <w:tcPr>
            <w:tcW w:w="5589" w:type="dxa"/>
            <w:noWrap w:val="0"/>
            <w:vAlign w:val="center"/>
          </w:tcPr>
          <w:p w14:paraId="34CB7EC2">
            <w:pPr>
              <w:spacing w:line="440" w:lineRule="exact"/>
              <w:jc w:val="center"/>
              <w:rPr>
                <w:rFonts w:ascii="宋体" w:hAnsi="宋体" w:cs="宋体"/>
                <w:color w:val="auto"/>
                <w:highlight w:val="none"/>
              </w:rPr>
            </w:pPr>
            <w:r>
              <w:rPr>
                <w:rFonts w:hint="eastAsia" w:ascii="宋体" w:hAnsi="宋体" w:cs="宋体"/>
                <w:color w:val="auto"/>
                <w:highlight w:val="none"/>
                <w:u w:val="single"/>
              </w:rPr>
              <w:t>合格</w:t>
            </w:r>
          </w:p>
        </w:tc>
      </w:tr>
    </w:tbl>
    <w:p w14:paraId="06A720B3">
      <w:pPr>
        <w:spacing w:line="400" w:lineRule="exact"/>
        <w:ind w:firstLine="480"/>
        <w:jc w:val="left"/>
        <w:rPr>
          <w:rFonts w:ascii="宋体" w:hAnsi="宋体"/>
          <w:color w:val="auto"/>
          <w:highlight w:val="none"/>
        </w:rPr>
      </w:pPr>
    </w:p>
    <w:p w14:paraId="20C3BE23">
      <w:pPr>
        <w:spacing w:line="400" w:lineRule="exact"/>
        <w:ind w:firstLine="480"/>
        <w:jc w:val="left"/>
        <w:rPr>
          <w:rFonts w:ascii="宋体" w:hAnsi="宋体"/>
          <w:color w:val="auto"/>
          <w:highlight w:val="none"/>
        </w:rPr>
      </w:pPr>
    </w:p>
    <w:p w14:paraId="57077374">
      <w:pPr>
        <w:spacing w:line="400" w:lineRule="exact"/>
        <w:ind w:firstLine="480"/>
        <w:jc w:val="left"/>
        <w:rPr>
          <w:rFonts w:ascii="宋体" w:hAnsi="宋体"/>
          <w:color w:val="auto"/>
          <w:highlight w:val="none"/>
        </w:rPr>
      </w:pPr>
    </w:p>
    <w:p w14:paraId="6C40635A">
      <w:pPr>
        <w:spacing w:line="400" w:lineRule="exact"/>
        <w:ind w:firstLine="480"/>
        <w:jc w:val="left"/>
        <w:rPr>
          <w:rFonts w:ascii="宋体" w:hAnsi="宋体"/>
          <w:color w:val="auto"/>
          <w:highlight w:val="none"/>
        </w:rPr>
      </w:pPr>
    </w:p>
    <w:p w14:paraId="6F743036">
      <w:pPr>
        <w:spacing w:line="400" w:lineRule="exact"/>
        <w:ind w:firstLine="480"/>
        <w:jc w:val="left"/>
        <w:rPr>
          <w:rFonts w:ascii="宋体" w:hAnsi="宋体"/>
          <w:color w:val="auto"/>
          <w:highlight w:val="none"/>
        </w:rPr>
      </w:pPr>
      <w:r>
        <w:rPr>
          <w:rFonts w:hint="eastAsia" w:ascii="宋体" w:hAnsi="宋体"/>
          <w:color w:val="auto"/>
          <w:highlight w:val="none"/>
        </w:rPr>
        <w:t>供应商名称（盖章）：</w:t>
      </w:r>
    </w:p>
    <w:p w14:paraId="3B5E8720">
      <w:pPr>
        <w:spacing w:line="400" w:lineRule="exact"/>
        <w:ind w:firstLine="480"/>
        <w:jc w:val="left"/>
        <w:rPr>
          <w:rFonts w:ascii="宋体" w:hAnsi="宋体"/>
          <w:color w:val="auto"/>
          <w:highlight w:val="none"/>
        </w:rPr>
      </w:pPr>
    </w:p>
    <w:p w14:paraId="502ACE01">
      <w:pPr>
        <w:spacing w:line="400" w:lineRule="exact"/>
        <w:ind w:firstLine="480"/>
        <w:jc w:val="left"/>
        <w:rPr>
          <w:rFonts w:ascii="宋体" w:hAnsi="宋体"/>
          <w:color w:val="auto"/>
          <w:highlight w:val="none"/>
        </w:rPr>
      </w:pPr>
      <w:r>
        <w:rPr>
          <w:rFonts w:hint="eastAsia" w:ascii="宋体" w:hAnsi="宋体"/>
          <w:color w:val="auto"/>
          <w:highlight w:val="none"/>
        </w:rPr>
        <w:t>法定代表人（签字或盖章）：</w:t>
      </w:r>
    </w:p>
    <w:p w14:paraId="45821BFA">
      <w:pPr>
        <w:spacing w:line="400" w:lineRule="exact"/>
        <w:ind w:firstLine="480"/>
        <w:jc w:val="left"/>
        <w:rPr>
          <w:rFonts w:ascii="宋体" w:hAnsi="宋体"/>
          <w:color w:val="auto"/>
          <w:highlight w:val="none"/>
        </w:rPr>
      </w:pPr>
    </w:p>
    <w:p w14:paraId="338B0806">
      <w:pPr>
        <w:spacing w:line="400" w:lineRule="exact"/>
        <w:ind w:firstLine="480"/>
        <w:jc w:val="left"/>
        <w:rPr>
          <w:rFonts w:ascii="宋体" w:hAnsi="宋体"/>
          <w:color w:val="auto"/>
          <w:highlight w:val="none"/>
        </w:rPr>
      </w:pPr>
      <w:r>
        <w:rPr>
          <w:rFonts w:hint="eastAsia" w:ascii="宋体" w:hAnsi="宋体"/>
          <w:color w:val="auto"/>
          <w:highlight w:val="none"/>
        </w:rPr>
        <w:t>日期：</w:t>
      </w:r>
    </w:p>
    <w:p w14:paraId="46EE4ADA">
      <w:pPr>
        <w:widowControl/>
        <w:jc w:val="left"/>
        <w:outlineLvl w:val="2"/>
        <w:rPr>
          <w:rFonts w:ascii="宋体" w:hAnsi="宋体" w:cs="宋体"/>
          <w:color w:val="auto"/>
          <w:sz w:val="28"/>
          <w:szCs w:val="28"/>
          <w:highlight w:val="none"/>
        </w:rPr>
      </w:pPr>
      <w:r>
        <w:rPr>
          <w:rFonts w:ascii="宋体" w:hAnsi="宋体"/>
          <w:b/>
          <w:bCs/>
          <w:color w:val="auto"/>
          <w:szCs w:val="21"/>
          <w:highlight w:val="none"/>
        </w:rPr>
        <w:br w:type="page" w:clear="all"/>
      </w:r>
      <w:r>
        <w:rPr>
          <w:rFonts w:hint="eastAsia" w:ascii="宋体" w:hAnsi="宋体" w:cs="宋体"/>
          <w:color w:val="auto"/>
          <w:sz w:val="28"/>
          <w:szCs w:val="28"/>
          <w:highlight w:val="none"/>
        </w:rPr>
        <w:t>3.4供应商基本资格条件承诺书</w:t>
      </w:r>
    </w:p>
    <w:p w14:paraId="6A0EA45A">
      <w:pPr>
        <w:jc w:val="center"/>
        <w:outlineLvl w:val="4"/>
        <w:rPr>
          <w:rFonts w:ascii="宋体" w:hAnsi="宋体" w:cs="宋体"/>
          <w:b/>
          <w:color w:val="auto"/>
          <w:sz w:val="30"/>
          <w:szCs w:val="30"/>
          <w:highlight w:val="none"/>
        </w:rPr>
      </w:pPr>
    </w:p>
    <w:p w14:paraId="5BF7F3EC">
      <w:pPr>
        <w:jc w:val="center"/>
        <w:outlineLvl w:val="4"/>
        <w:rPr>
          <w:rFonts w:ascii="宋体" w:hAnsi="宋体" w:cs="宋体"/>
          <w:b/>
          <w:color w:val="auto"/>
          <w:sz w:val="30"/>
          <w:szCs w:val="30"/>
          <w:highlight w:val="none"/>
        </w:rPr>
      </w:pPr>
      <w:r>
        <w:rPr>
          <w:rFonts w:hint="eastAsia" w:ascii="宋体" w:hAnsi="宋体" w:cs="宋体"/>
          <w:b/>
          <w:color w:val="auto"/>
          <w:sz w:val="30"/>
          <w:szCs w:val="30"/>
          <w:highlight w:val="none"/>
        </w:rPr>
        <w:t>供应商基本资格条件承诺书</w:t>
      </w:r>
    </w:p>
    <w:p w14:paraId="79E7C590">
      <w:pPr>
        <w:spacing w:line="560" w:lineRule="exact"/>
        <w:ind w:firstLine="560"/>
        <w:rPr>
          <w:rFonts w:ascii="宋体" w:hAnsi="宋体" w:cs="宋体"/>
          <w:color w:val="auto"/>
          <w:highlight w:val="none"/>
        </w:rPr>
      </w:pPr>
      <w:r>
        <w:rPr>
          <w:rFonts w:hint="eastAsia" w:ascii="宋体" w:hAnsi="宋体" w:cs="宋体"/>
          <w:color w:val="auto"/>
          <w:highlight w:val="none"/>
        </w:rPr>
        <w:t>一、按照《政府采购法》第二十二条规定的供应商基本资格条件，我公司郑重承诺如下：</w:t>
      </w:r>
    </w:p>
    <w:p w14:paraId="5E66AB59">
      <w:pPr>
        <w:spacing w:line="560" w:lineRule="exact"/>
        <w:ind w:firstLine="560"/>
        <w:rPr>
          <w:rFonts w:ascii="宋体" w:hAnsi="宋体"/>
          <w:color w:val="auto"/>
          <w:highlight w:val="none"/>
        </w:rPr>
      </w:pPr>
      <w:r>
        <w:rPr>
          <w:rFonts w:hint="eastAsia" w:ascii="宋体" w:hAnsi="宋体"/>
          <w:color w:val="auto"/>
          <w:highlight w:val="none"/>
        </w:rPr>
        <w:t>1.我公司具有独立承担民事责任的能力；</w:t>
      </w:r>
    </w:p>
    <w:p w14:paraId="355E59B2">
      <w:pPr>
        <w:spacing w:line="560" w:lineRule="exact"/>
        <w:ind w:firstLine="560"/>
        <w:rPr>
          <w:rFonts w:ascii="宋体" w:hAnsi="宋体"/>
          <w:color w:val="auto"/>
          <w:highlight w:val="none"/>
          <w:shd w:val="clear" w:color="auto" w:fill="FFFFFF"/>
        </w:rPr>
      </w:pPr>
      <w:r>
        <w:rPr>
          <w:rFonts w:hint="eastAsia" w:ascii="宋体" w:hAnsi="宋体"/>
          <w:color w:val="auto"/>
          <w:highlight w:val="none"/>
        </w:rPr>
        <w:t>2.我公司具有</w:t>
      </w:r>
      <w:r>
        <w:rPr>
          <w:rFonts w:hint="eastAsia" w:ascii="宋体" w:hAnsi="宋体"/>
          <w:color w:val="auto"/>
          <w:highlight w:val="none"/>
          <w:shd w:val="clear" w:color="auto" w:fill="FFFFFF"/>
        </w:rPr>
        <w:t>良好的商业信誉和健全的财务会计制度；</w:t>
      </w:r>
    </w:p>
    <w:p w14:paraId="1A996D5B">
      <w:pPr>
        <w:spacing w:line="560" w:lineRule="exact"/>
        <w:ind w:firstLine="560"/>
        <w:rPr>
          <w:rFonts w:ascii="宋体" w:hAnsi="宋体"/>
          <w:color w:val="auto"/>
          <w:highlight w:val="none"/>
          <w:shd w:val="clear" w:color="auto" w:fill="FFFFFF"/>
        </w:rPr>
      </w:pPr>
      <w:r>
        <w:rPr>
          <w:rFonts w:hint="eastAsia" w:ascii="宋体" w:hAnsi="宋体"/>
          <w:color w:val="auto"/>
          <w:highlight w:val="none"/>
          <w:shd w:val="clear" w:color="auto" w:fill="FFFFFF"/>
        </w:rPr>
        <w:t>3.我公司具有履行合同所必须的设备和专业技术能力；</w:t>
      </w:r>
    </w:p>
    <w:p w14:paraId="01E06888">
      <w:pPr>
        <w:spacing w:line="560" w:lineRule="exact"/>
        <w:ind w:firstLine="560"/>
        <w:rPr>
          <w:rFonts w:ascii="宋体" w:hAnsi="宋体"/>
          <w:color w:val="auto"/>
          <w:highlight w:val="none"/>
          <w:shd w:val="clear" w:color="auto" w:fill="FFFFFF"/>
        </w:rPr>
      </w:pPr>
      <w:r>
        <w:rPr>
          <w:rFonts w:hint="eastAsia" w:ascii="宋体" w:hAnsi="宋体"/>
          <w:color w:val="auto"/>
          <w:highlight w:val="none"/>
          <w:shd w:val="clear" w:color="auto" w:fill="FFFFFF"/>
        </w:rPr>
        <w:t>4.我公司具有依法缴纳税收和社会保障资金的良好记录；</w:t>
      </w:r>
    </w:p>
    <w:p w14:paraId="02ADF180">
      <w:pPr>
        <w:spacing w:line="560" w:lineRule="exact"/>
        <w:ind w:firstLine="560"/>
        <w:rPr>
          <w:rFonts w:ascii="宋体" w:hAnsi="宋体"/>
          <w:color w:val="auto"/>
          <w:highlight w:val="none"/>
          <w:shd w:val="clear" w:color="auto" w:fill="FFFFFF"/>
        </w:rPr>
      </w:pPr>
      <w:r>
        <w:rPr>
          <w:rFonts w:hint="eastAsia" w:ascii="宋体" w:hAnsi="宋体"/>
          <w:color w:val="auto"/>
          <w:highlight w:val="none"/>
          <w:shd w:val="clear" w:color="auto" w:fill="FFFFFF"/>
        </w:rPr>
        <w:t>5.我公司参加政府采购活动前三年内，在经营活动中没有重大违法记录；</w:t>
      </w:r>
    </w:p>
    <w:p w14:paraId="0ABC03C8">
      <w:pPr>
        <w:spacing w:line="560" w:lineRule="exact"/>
        <w:ind w:firstLine="560"/>
        <w:rPr>
          <w:rFonts w:ascii="宋体" w:hAnsi="宋体"/>
          <w:color w:val="auto"/>
          <w:highlight w:val="none"/>
        </w:rPr>
      </w:pPr>
      <w:r>
        <w:rPr>
          <w:rFonts w:hint="eastAsia" w:ascii="宋体" w:hAnsi="宋体"/>
          <w:color w:val="auto"/>
          <w:highlight w:val="none"/>
          <w:shd w:val="clear" w:color="auto" w:fill="FFFFFF"/>
        </w:rPr>
        <w:t>6.我公司未列入在信用中国网站（www.creditchina.gov.cn）“失信被执行人”、“重大税收违法案件当事人名单”中，也未列入中国政府采购网（www.ccgp.gov.cn）“政府采购严重违法失信行为记录名单”中</w:t>
      </w:r>
      <w:r>
        <w:rPr>
          <w:rFonts w:hint="eastAsia" w:ascii="宋体" w:hAnsi="宋体"/>
          <w:color w:val="auto"/>
          <w:highlight w:val="none"/>
        </w:rPr>
        <w:t>。</w:t>
      </w:r>
    </w:p>
    <w:p w14:paraId="703E749F">
      <w:pPr>
        <w:spacing w:line="560" w:lineRule="exact"/>
        <w:ind w:firstLine="560"/>
        <w:rPr>
          <w:rFonts w:ascii="宋体" w:hAnsi="宋体"/>
          <w:color w:val="auto"/>
          <w:highlight w:val="none"/>
        </w:rPr>
      </w:pPr>
      <w:r>
        <w:rPr>
          <w:rFonts w:hint="eastAsia" w:ascii="宋体" w:hAnsi="宋体"/>
          <w:color w:val="auto"/>
          <w:highlight w:val="none"/>
          <w:shd w:val="clear" w:color="auto" w:fill="FFFFFF"/>
        </w:rPr>
        <w:t>二、</w:t>
      </w:r>
      <w:r>
        <w:rPr>
          <w:rFonts w:hint="eastAsia" w:ascii="宋体" w:hAnsi="宋体"/>
          <w:color w:val="auto"/>
          <w:highlight w:val="none"/>
        </w:rPr>
        <w:t>我公司承诺：在本次响应过程中，我公司不存在本项目竞争性磋商文件第二章第1.4.4条所列情形之一。</w:t>
      </w:r>
    </w:p>
    <w:p w14:paraId="40ACCCA8">
      <w:pPr>
        <w:spacing w:before="163" w:line="560" w:lineRule="exact"/>
        <w:ind w:firstLine="3920"/>
        <w:rPr>
          <w:rFonts w:ascii="宋体" w:hAnsi="宋体"/>
          <w:color w:val="auto"/>
          <w:highlight w:val="none"/>
        </w:rPr>
      </w:pPr>
    </w:p>
    <w:p w14:paraId="1B2F91DA">
      <w:pPr>
        <w:spacing w:before="163" w:line="560" w:lineRule="exact"/>
        <w:ind w:firstLine="3920"/>
        <w:rPr>
          <w:rFonts w:ascii="宋体" w:hAnsi="宋体"/>
          <w:color w:val="auto"/>
          <w:highlight w:val="none"/>
        </w:rPr>
      </w:pPr>
      <w:r>
        <w:rPr>
          <w:rFonts w:hint="eastAsia" w:ascii="宋体" w:hAnsi="宋体"/>
          <w:color w:val="auto"/>
          <w:highlight w:val="none"/>
        </w:rPr>
        <w:t>供应商名称(盖章)：</w:t>
      </w:r>
    </w:p>
    <w:p w14:paraId="615ED242">
      <w:pPr>
        <w:spacing w:before="163" w:line="560" w:lineRule="exact"/>
        <w:ind w:firstLine="3920"/>
        <w:rPr>
          <w:rFonts w:ascii="宋体" w:hAnsi="宋体"/>
          <w:color w:val="auto"/>
          <w:highlight w:val="none"/>
          <w:u w:val="single"/>
        </w:rPr>
      </w:pPr>
      <w:r>
        <w:rPr>
          <w:rFonts w:hint="eastAsia" w:ascii="宋体" w:hAnsi="宋体"/>
          <w:color w:val="auto"/>
          <w:highlight w:val="none"/>
        </w:rPr>
        <w:t>法定代表人 (签字或</w:t>
      </w:r>
      <w:r>
        <w:rPr>
          <w:rFonts w:hint="eastAsia" w:ascii="宋体" w:hAnsi="宋体"/>
          <w:color w:val="auto"/>
          <w:highlight w:val="none"/>
          <w:lang w:val="en-US" w:eastAsia="zh-CN"/>
        </w:rPr>
        <w:t>盖章</w:t>
      </w:r>
      <w:r>
        <w:rPr>
          <w:rFonts w:hint="eastAsia" w:ascii="宋体" w:hAnsi="宋体"/>
          <w:color w:val="auto"/>
          <w:highlight w:val="none"/>
        </w:rPr>
        <w:t>)：</w:t>
      </w:r>
    </w:p>
    <w:p w14:paraId="3B57EE22">
      <w:pPr>
        <w:spacing w:before="163" w:line="560" w:lineRule="exact"/>
        <w:ind w:firstLine="3920"/>
        <w:rPr>
          <w:rFonts w:ascii="宋体" w:hAnsi="宋体"/>
          <w:color w:val="auto"/>
          <w:highlight w:val="none"/>
        </w:rPr>
      </w:pPr>
      <w:r>
        <w:rPr>
          <w:rFonts w:hint="eastAsia" w:ascii="宋体" w:hAnsi="宋体"/>
          <w:color w:val="auto"/>
          <w:highlight w:val="none"/>
        </w:rPr>
        <w:t>日期： 年  月  日</w:t>
      </w:r>
    </w:p>
    <w:p w14:paraId="2E3CF19D">
      <w:pPr>
        <w:spacing w:before="156" w:line="360" w:lineRule="auto"/>
        <w:rPr>
          <w:rFonts w:ascii="宋体" w:hAnsi="宋体" w:cs="宋体"/>
          <w:color w:val="auto"/>
          <w:sz w:val="28"/>
          <w:szCs w:val="28"/>
          <w:highlight w:val="none"/>
        </w:rPr>
      </w:pPr>
      <w:r>
        <w:rPr>
          <w:rFonts w:ascii="宋体" w:hAnsi="宋体"/>
          <w:b/>
          <w:bCs/>
          <w:color w:val="auto"/>
          <w:highlight w:val="none"/>
        </w:rPr>
        <w:br w:type="page" w:clear="all"/>
      </w:r>
      <w:r>
        <w:rPr>
          <w:rFonts w:hint="eastAsia" w:ascii="宋体" w:hAnsi="宋体" w:cs="宋体"/>
          <w:color w:val="auto"/>
          <w:sz w:val="28"/>
          <w:szCs w:val="28"/>
          <w:highlight w:val="none"/>
        </w:rPr>
        <w:t>3.5中小企业声明函、监狱企业证明、残疾人福利性单位声明函格式</w:t>
      </w:r>
    </w:p>
    <w:p w14:paraId="07CCBE57">
      <w:pPr>
        <w:pStyle w:val="246"/>
        <w:spacing w:line="400" w:lineRule="exact"/>
        <w:ind w:firstLine="602"/>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中小企业声明函（工程）</w:t>
      </w:r>
    </w:p>
    <w:p w14:paraId="200AFEB3">
      <w:pPr>
        <w:pStyle w:val="246"/>
        <w:spacing w:line="400" w:lineRule="exact"/>
        <w:ind w:firstLine="480"/>
        <w:jc w:val="center"/>
        <w:rPr>
          <w:rFonts w:ascii="宋体" w:hAnsi="宋体" w:cs="宋体"/>
          <w:color w:val="auto"/>
          <w:sz w:val="24"/>
          <w:szCs w:val="24"/>
          <w:highlight w:val="none"/>
        </w:rPr>
      </w:pPr>
      <w:r>
        <w:rPr>
          <w:rFonts w:hint="eastAsia"/>
          <w:color w:val="auto"/>
          <w:sz w:val="24"/>
          <w:szCs w:val="24"/>
          <w:highlight w:val="none"/>
        </w:rPr>
        <w:t>（注：符合条件的请提供本函，不符合的不提供本函）</w:t>
      </w:r>
    </w:p>
    <w:p w14:paraId="22B0D88B">
      <w:pPr>
        <w:pStyle w:val="246"/>
        <w:spacing w:line="400" w:lineRule="exact"/>
        <w:ind w:firstLine="420"/>
        <w:rPr>
          <w:rFonts w:ascii="宋体" w:hAnsi="宋体" w:cs="宋体"/>
          <w:color w:val="auto"/>
          <w:sz w:val="24"/>
          <w:szCs w:val="24"/>
          <w:highlight w:val="none"/>
        </w:rPr>
      </w:pPr>
    </w:p>
    <w:p w14:paraId="1D47CDDA">
      <w:pPr>
        <w:pStyle w:val="246"/>
        <w:spacing w:line="40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rPr>
        <w:t>（单位名称）</w:t>
      </w:r>
      <w:r>
        <w:rPr>
          <w:rFonts w:hint="eastAsia" w:ascii="宋体" w:hAnsi="宋体" w:cs="宋体"/>
          <w:color w:val="auto"/>
          <w:sz w:val="24"/>
          <w:szCs w:val="24"/>
          <w:highlight w:val="none"/>
        </w:rPr>
        <w:t>的</w:t>
      </w:r>
      <w:r>
        <w:rPr>
          <w:rFonts w:hint="eastAsia" w:ascii="宋体" w:hAnsi="宋体" w:cs="宋体"/>
          <w:color w:val="auto"/>
          <w:sz w:val="24"/>
          <w:szCs w:val="24"/>
          <w:highlight w:val="none"/>
          <w:u w:val="single"/>
        </w:rPr>
        <w:t>（项目名称）</w:t>
      </w:r>
      <w:r>
        <w:rPr>
          <w:rFonts w:hint="eastAsia" w:ascii="宋体" w:hAnsi="宋体" w:cs="宋体"/>
          <w:color w:val="auto"/>
          <w:sz w:val="24"/>
          <w:szCs w:val="24"/>
          <w:highlight w:val="none"/>
        </w:rPr>
        <w:t>采购活动，工程的施工单位全部为符合政策要求的中小微企业。相关企业（含联合体中的中小企业、签订分包意向协议的中小企业）的具体情况如下：</w:t>
      </w:r>
    </w:p>
    <w:p w14:paraId="1E5D9573">
      <w:pPr>
        <w:pStyle w:val="246"/>
        <w:spacing w:line="40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1. </w:t>
      </w:r>
      <w:r>
        <w:rPr>
          <w:rFonts w:hint="eastAsia" w:ascii="宋体" w:hAnsi="宋体" w:cs="宋体"/>
          <w:color w:val="auto"/>
          <w:sz w:val="24"/>
          <w:szCs w:val="24"/>
          <w:highlight w:val="none"/>
          <w:u w:val="single"/>
        </w:rPr>
        <w:t xml:space="preserve">（标的名称） </w:t>
      </w:r>
      <w:r>
        <w:rPr>
          <w:rFonts w:hint="eastAsia" w:ascii="宋体" w:hAnsi="宋体" w:cs="宋体"/>
          <w:color w:val="auto"/>
          <w:sz w:val="24"/>
          <w:szCs w:val="24"/>
          <w:highlight w:val="none"/>
        </w:rPr>
        <w:t>，属于</w:t>
      </w:r>
      <w:r>
        <w:rPr>
          <w:rFonts w:hint="eastAsia" w:ascii="宋体" w:hAnsi="宋体" w:cs="宋体"/>
          <w:color w:val="auto"/>
          <w:sz w:val="24"/>
          <w:szCs w:val="24"/>
          <w:highlight w:val="none"/>
          <w:u w:val="single"/>
        </w:rPr>
        <w:t xml:space="preserve">   建筑业   </w:t>
      </w:r>
      <w:r>
        <w:rPr>
          <w:rFonts w:hint="eastAsia" w:ascii="宋体" w:hAnsi="宋体" w:cs="宋体"/>
          <w:color w:val="auto"/>
          <w:sz w:val="24"/>
          <w:szCs w:val="24"/>
          <w:highlight w:val="none"/>
        </w:rPr>
        <w:t>；承建企业为</w:t>
      </w:r>
      <w:r>
        <w:rPr>
          <w:rFonts w:hint="eastAsia" w:ascii="宋体" w:hAnsi="宋体" w:cs="宋体"/>
          <w:color w:val="auto"/>
          <w:sz w:val="24"/>
          <w:szCs w:val="24"/>
          <w:highlight w:val="none"/>
          <w:u w:val="single"/>
        </w:rPr>
        <w:t>（企业名称）</w:t>
      </w:r>
      <w:r>
        <w:rPr>
          <w:rFonts w:hint="eastAsia" w:ascii="宋体" w:hAnsi="宋体" w:cs="宋体"/>
          <w:color w:val="auto"/>
          <w:sz w:val="24"/>
          <w:szCs w:val="24"/>
          <w:highlight w:val="none"/>
        </w:rPr>
        <w:t>，从业人员人，营业收入为万元，资产总额为万元，属于</w:t>
      </w:r>
      <w:r>
        <w:rPr>
          <w:rFonts w:hint="eastAsia" w:ascii="宋体" w:hAnsi="宋体" w:cs="宋体"/>
          <w:color w:val="auto"/>
          <w:sz w:val="24"/>
          <w:szCs w:val="24"/>
          <w:highlight w:val="none"/>
          <w:u w:val="single"/>
        </w:rPr>
        <w:t>（中型企业、小型企业、微型企业）</w:t>
      </w:r>
      <w:r>
        <w:rPr>
          <w:rFonts w:hint="eastAsia" w:ascii="宋体" w:hAnsi="宋体" w:cs="宋体"/>
          <w:color w:val="auto"/>
          <w:sz w:val="24"/>
          <w:szCs w:val="24"/>
          <w:highlight w:val="none"/>
        </w:rPr>
        <w:t>；</w:t>
      </w:r>
    </w:p>
    <w:p w14:paraId="529FDEF3">
      <w:pPr>
        <w:pStyle w:val="246"/>
        <w:spacing w:line="40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u w:val="single"/>
        </w:rPr>
        <w:t xml:space="preserve"> （标的名称）</w:t>
      </w:r>
      <w:r>
        <w:rPr>
          <w:rFonts w:hint="eastAsia" w:ascii="宋体" w:hAnsi="宋体" w:cs="宋体"/>
          <w:color w:val="auto"/>
          <w:sz w:val="24"/>
          <w:szCs w:val="24"/>
          <w:highlight w:val="none"/>
        </w:rPr>
        <w:t xml:space="preserve"> ，属于</w:t>
      </w:r>
      <w:r>
        <w:rPr>
          <w:rFonts w:hint="eastAsia" w:ascii="宋体" w:hAnsi="宋体" w:cs="宋体"/>
          <w:color w:val="auto"/>
          <w:sz w:val="24"/>
          <w:szCs w:val="24"/>
          <w:highlight w:val="none"/>
          <w:u w:val="single"/>
        </w:rPr>
        <w:t xml:space="preserve">   建筑业   </w:t>
      </w:r>
      <w:r>
        <w:rPr>
          <w:rFonts w:hint="eastAsia" w:ascii="宋体" w:hAnsi="宋体" w:cs="宋体"/>
          <w:color w:val="auto"/>
          <w:sz w:val="24"/>
          <w:szCs w:val="24"/>
          <w:highlight w:val="none"/>
        </w:rPr>
        <w:t>；承建企业为</w:t>
      </w:r>
      <w:r>
        <w:rPr>
          <w:rFonts w:hint="eastAsia" w:ascii="宋体" w:hAnsi="宋体" w:cs="宋体"/>
          <w:color w:val="auto"/>
          <w:sz w:val="24"/>
          <w:szCs w:val="24"/>
          <w:highlight w:val="none"/>
          <w:u w:val="single"/>
        </w:rPr>
        <w:t>（企业名称）</w:t>
      </w:r>
      <w:r>
        <w:rPr>
          <w:rFonts w:hint="eastAsia" w:ascii="宋体" w:hAnsi="宋体" w:cs="宋体"/>
          <w:color w:val="auto"/>
          <w:sz w:val="24"/>
          <w:szCs w:val="24"/>
          <w:highlight w:val="none"/>
        </w:rPr>
        <w:t>，从业人员人，营业收入为万元，资产总额为万元，属于</w:t>
      </w:r>
      <w:r>
        <w:rPr>
          <w:rFonts w:hint="eastAsia" w:ascii="宋体" w:hAnsi="宋体" w:cs="宋体"/>
          <w:color w:val="auto"/>
          <w:sz w:val="24"/>
          <w:szCs w:val="24"/>
          <w:highlight w:val="none"/>
          <w:u w:val="single"/>
        </w:rPr>
        <w:t>（中型企业、小型企业、微型企业</w:t>
      </w:r>
      <w:r>
        <w:rPr>
          <w:rFonts w:hint="eastAsia" w:ascii="宋体" w:hAnsi="宋体" w:cs="宋体"/>
          <w:color w:val="auto"/>
          <w:sz w:val="24"/>
          <w:szCs w:val="24"/>
          <w:highlight w:val="none"/>
        </w:rPr>
        <w:t>）；</w:t>
      </w:r>
    </w:p>
    <w:p w14:paraId="53476F7A">
      <w:pPr>
        <w:pStyle w:val="246"/>
        <w:spacing w:line="40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w:t>
      </w:r>
    </w:p>
    <w:p w14:paraId="5DB13079">
      <w:pPr>
        <w:pStyle w:val="246"/>
        <w:spacing w:line="40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以上企业，不属于大企业的分支机构，不存在控股股东为大企业的情形，也不存在与大企业的负责人为同一人的情形。</w:t>
      </w:r>
    </w:p>
    <w:p w14:paraId="0CD3B006">
      <w:pPr>
        <w:pStyle w:val="246"/>
        <w:spacing w:line="40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本企业对上述声明内容的真实性负责。如有虚假，将依法承担相应责任。</w:t>
      </w:r>
    </w:p>
    <w:p w14:paraId="2476B776">
      <w:pPr>
        <w:pStyle w:val="246"/>
        <w:spacing w:line="400" w:lineRule="exact"/>
        <w:ind w:firstLine="420"/>
        <w:rPr>
          <w:rFonts w:ascii="宋体" w:hAnsi="宋体" w:cs="宋体"/>
          <w:color w:val="auto"/>
          <w:sz w:val="24"/>
          <w:szCs w:val="24"/>
          <w:highlight w:val="none"/>
        </w:rPr>
      </w:pPr>
    </w:p>
    <w:p w14:paraId="12CAD674">
      <w:pPr>
        <w:pStyle w:val="246"/>
        <w:spacing w:line="40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企业名称（盖章）：</w:t>
      </w:r>
    </w:p>
    <w:p w14:paraId="0FB5EBFD">
      <w:pPr>
        <w:pStyle w:val="246"/>
        <w:spacing w:line="40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日期：</w:t>
      </w:r>
    </w:p>
    <w:p w14:paraId="1CE9FD2A">
      <w:pPr>
        <w:pStyle w:val="246"/>
        <w:spacing w:line="400" w:lineRule="exact"/>
        <w:ind w:firstLine="420"/>
        <w:rPr>
          <w:rFonts w:ascii="宋体" w:hAnsi="宋体" w:cs="宋体"/>
          <w:color w:val="auto"/>
          <w:sz w:val="24"/>
          <w:szCs w:val="24"/>
          <w:highlight w:val="none"/>
        </w:rPr>
      </w:pPr>
    </w:p>
    <w:p w14:paraId="2616D0AC">
      <w:pPr>
        <w:pStyle w:val="246"/>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注：1 从业人员、营业收入、资产总额填报上一年度数据，无上一年度数据的新成立企业可不填报。</w:t>
      </w:r>
    </w:p>
    <w:p w14:paraId="546176E8">
      <w:pPr>
        <w:pStyle w:val="246"/>
        <w:spacing w:line="400" w:lineRule="exact"/>
        <w:ind w:firstLine="400"/>
        <w:rPr>
          <w:rFonts w:ascii="宋体" w:hAnsi="宋体" w:cs="宋体"/>
          <w:color w:val="auto"/>
          <w:sz w:val="24"/>
          <w:szCs w:val="24"/>
          <w:highlight w:val="none"/>
        </w:rPr>
      </w:pPr>
      <w:r>
        <w:rPr>
          <w:rFonts w:hint="eastAsia" w:ascii="宋体" w:hAnsi="宋体" w:cs="宋体"/>
          <w:color w:val="auto"/>
          <w:sz w:val="24"/>
          <w:szCs w:val="24"/>
          <w:highlight w:val="none"/>
        </w:rPr>
        <w:t>2、中小企业划分标准详见“工信部联企业〔2011〕300号通知中的《中小企业划型标准规定》。</w:t>
      </w:r>
    </w:p>
    <w:p w14:paraId="484DFDBC">
      <w:pPr>
        <w:spacing w:line="400" w:lineRule="exact"/>
        <w:ind w:firstLine="400"/>
        <w:rPr>
          <w:rFonts w:ascii="宋体" w:hAnsi="宋体" w:cs="宋体"/>
          <w:color w:val="auto"/>
          <w:highlight w:val="none"/>
        </w:rPr>
      </w:pPr>
      <w:r>
        <w:rPr>
          <w:rFonts w:hint="eastAsia" w:ascii="宋体" w:hAnsi="宋体" w:cs="宋体"/>
          <w:color w:val="auto"/>
          <w:highlight w:val="none"/>
        </w:rPr>
        <w:t>3、中标、成交供应商享受中小企业扶持政策的，采购人、采购代理机构应当随中标、成交结果公开中标、成交产品制造商的《中小企业声明函》。</w:t>
      </w:r>
    </w:p>
    <w:p w14:paraId="373BFBAF">
      <w:pPr>
        <w:spacing w:line="500" w:lineRule="exact"/>
        <w:ind w:firstLine="400"/>
        <w:rPr>
          <w:rFonts w:ascii="宋体" w:hAnsi="宋体" w:cs="宋体"/>
          <w:color w:val="auto"/>
          <w:highlight w:val="none"/>
        </w:rPr>
      </w:pPr>
      <w:r>
        <w:rPr>
          <w:rFonts w:hint="eastAsia" w:ascii="宋体" w:hAnsi="宋体" w:cs="宋体"/>
          <w:color w:val="auto"/>
          <w:highlight w:val="none"/>
        </w:rPr>
        <w:t>4、供应商提供的声明函内容不实的，属于提供虚假材料谋取中标、成交，依照《中华人民共和国政府采购法》等国家有关规定追究相应责任。</w:t>
      </w:r>
    </w:p>
    <w:p w14:paraId="5E1FE2A9">
      <w:pPr>
        <w:spacing w:line="400" w:lineRule="exact"/>
        <w:outlineLvl w:val="2"/>
        <w:rPr>
          <w:rFonts w:hAnsi="宋体"/>
          <w:color w:val="auto"/>
          <w:sz w:val="32"/>
          <w:szCs w:val="32"/>
          <w:highlight w:val="none"/>
        </w:rPr>
      </w:pPr>
    </w:p>
    <w:p w14:paraId="0C24D50D">
      <w:pPr>
        <w:pStyle w:val="283"/>
        <w:rPr>
          <w:rFonts w:hAnsi="宋体"/>
          <w:color w:val="auto"/>
          <w:sz w:val="32"/>
          <w:szCs w:val="32"/>
          <w:highlight w:val="none"/>
        </w:rPr>
      </w:pPr>
    </w:p>
    <w:p w14:paraId="2648E357">
      <w:pPr>
        <w:pStyle w:val="283"/>
        <w:rPr>
          <w:rFonts w:hAnsi="宋体"/>
          <w:color w:val="auto"/>
          <w:sz w:val="32"/>
          <w:szCs w:val="32"/>
          <w:highlight w:val="none"/>
        </w:rPr>
      </w:pPr>
    </w:p>
    <w:p w14:paraId="369C6F2D">
      <w:pPr>
        <w:rPr>
          <w:color w:val="auto"/>
          <w:highlight w:val="none"/>
        </w:rPr>
      </w:pPr>
    </w:p>
    <w:p w14:paraId="6BFF59B2">
      <w:pPr>
        <w:pStyle w:val="283"/>
        <w:rPr>
          <w:color w:val="auto"/>
          <w:highlight w:val="none"/>
        </w:rPr>
      </w:pPr>
    </w:p>
    <w:p w14:paraId="06F73F0B">
      <w:pPr>
        <w:spacing w:line="400" w:lineRule="exact"/>
        <w:jc w:val="center"/>
        <w:outlineLvl w:val="2"/>
        <w:rPr>
          <w:rFonts w:hAnsi="宋体"/>
          <w:b/>
          <w:bCs/>
          <w:color w:val="auto"/>
          <w:sz w:val="32"/>
          <w:szCs w:val="32"/>
          <w:highlight w:val="none"/>
        </w:rPr>
      </w:pPr>
      <w:r>
        <w:rPr>
          <w:rFonts w:hint="eastAsia" w:hAnsi="宋体"/>
          <w:b/>
          <w:bCs/>
          <w:color w:val="auto"/>
          <w:sz w:val="32"/>
          <w:szCs w:val="32"/>
          <w:highlight w:val="none"/>
        </w:rPr>
        <w:t>监狱和戒毒企业（监狱企业）证明</w:t>
      </w:r>
    </w:p>
    <w:p w14:paraId="413F496D">
      <w:pPr>
        <w:spacing w:line="400" w:lineRule="exact"/>
        <w:jc w:val="center"/>
        <w:rPr>
          <w:color w:val="auto"/>
          <w:highlight w:val="none"/>
        </w:rPr>
      </w:pPr>
      <w:r>
        <w:rPr>
          <w:rFonts w:hint="eastAsia"/>
          <w:color w:val="auto"/>
          <w:highlight w:val="none"/>
        </w:rPr>
        <w:t>（注：符合条件的监狱企业请提供，不符合的不提供）</w:t>
      </w:r>
    </w:p>
    <w:p w14:paraId="6BA5DA49">
      <w:pPr>
        <w:pStyle w:val="293"/>
        <w:spacing w:before="156" w:line="400" w:lineRule="exact"/>
        <w:rPr>
          <w:rFonts w:hAnsi="宋体" w:cs="宋体"/>
          <w:b/>
          <w:bCs/>
          <w:color w:val="auto"/>
          <w:szCs w:val="24"/>
          <w:highlight w:val="none"/>
        </w:rPr>
      </w:pPr>
      <w:r>
        <w:rPr>
          <w:rFonts w:hint="eastAsia" w:hAnsi="宋体" w:cs="宋体"/>
          <w:b/>
          <w:bCs/>
          <w:color w:val="auto"/>
          <w:szCs w:val="24"/>
          <w:highlight w:val="none"/>
        </w:rPr>
        <w:t>提供由省级以上监狱管理局、戒毒管理局（含新疆生产建设兵团）出具的属于监狱企业的证明文件。</w:t>
      </w:r>
    </w:p>
    <w:p w14:paraId="4CF71A58">
      <w:pPr>
        <w:spacing w:line="400" w:lineRule="exact"/>
        <w:outlineLvl w:val="2"/>
        <w:rPr>
          <w:rFonts w:hAnsi="宋体"/>
          <w:color w:val="auto"/>
          <w:highlight w:val="none"/>
        </w:rPr>
      </w:pPr>
    </w:p>
    <w:p w14:paraId="4A8D0E77">
      <w:pPr>
        <w:pStyle w:val="283"/>
        <w:rPr>
          <w:rFonts w:hAnsi="宋体"/>
          <w:color w:val="auto"/>
          <w:sz w:val="32"/>
          <w:szCs w:val="32"/>
          <w:highlight w:val="none"/>
        </w:rPr>
      </w:pPr>
    </w:p>
    <w:p w14:paraId="466E49E8">
      <w:pPr>
        <w:rPr>
          <w:color w:val="auto"/>
          <w:highlight w:val="none"/>
        </w:rPr>
      </w:pPr>
    </w:p>
    <w:p w14:paraId="23F7BEEC">
      <w:pPr>
        <w:spacing w:line="400" w:lineRule="exact"/>
        <w:jc w:val="center"/>
        <w:outlineLvl w:val="2"/>
        <w:rPr>
          <w:rFonts w:hAnsi="宋体"/>
          <w:b/>
          <w:bCs/>
          <w:color w:val="auto"/>
          <w:sz w:val="32"/>
          <w:szCs w:val="32"/>
          <w:highlight w:val="none"/>
        </w:rPr>
      </w:pPr>
      <w:r>
        <w:rPr>
          <w:rFonts w:hint="eastAsia" w:hAnsi="宋体"/>
          <w:b/>
          <w:bCs/>
          <w:color w:val="auto"/>
          <w:sz w:val="32"/>
          <w:szCs w:val="32"/>
          <w:highlight w:val="none"/>
        </w:rPr>
        <w:t>残疾人福利性单位声明函</w:t>
      </w:r>
    </w:p>
    <w:p w14:paraId="713613E0">
      <w:pPr>
        <w:spacing w:line="400" w:lineRule="exact"/>
        <w:jc w:val="center"/>
        <w:rPr>
          <w:color w:val="auto"/>
          <w:highlight w:val="none"/>
        </w:rPr>
      </w:pPr>
      <w:r>
        <w:rPr>
          <w:rFonts w:hint="eastAsia"/>
          <w:color w:val="auto"/>
          <w:highlight w:val="none"/>
        </w:rPr>
        <w:t>（注：符合条件的残疾人福利性单位请提供本函，不符合的不提供本函）</w:t>
      </w:r>
    </w:p>
    <w:p w14:paraId="0BD6519A">
      <w:pPr>
        <w:spacing w:line="400" w:lineRule="exact"/>
        <w:rPr>
          <w:color w:val="auto"/>
          <w:highlight w:val="none"/>
        </w:rPr>
      </w:pPr>
    </w:p>
    <w:p w14:paraId="40C753D0">
      <w:pPr>
        <w:spacing w:line="400" w:lineRule="exact"/>
        <w:rPr>
          <w:color w:val="auto"/>
          <w:highlight w:val="none"/>
        </w:rPr>
      </w:pPr>
    </w:p>
    <w:p w14:paraId="3C929095">
      <w:pPr>
        <w:spacing w:line="400" w:lineRule="exact"/>
        <w:ind w:firstLine="420"/>
        <w:rPr>
          <w:color w:val="auto"/>
          <w:highlight w:val="none"/>
        </w:rPr>
      </w:pPr>
      <w:r>
        <w:rPr>
          <w:rFonts w:hint="eastAsia"/>
          <w:color w:val="auto"/>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1737571">
      <w:pPr>
        <w:spacing w:line="400" w:lineRule="exact"/>
        <w:ind w:firstLine="420"/>
        <w:rPr>
          <w:color w:val="auto"/>
          <w:highlight w:val="none"/>
        </w:rPr>
      </w:pPr>
    </w:p>
    <w:p w14:paraId="3CCB5727">
      <w:pPr>
        <w:spacing w:line="400" w:lineRule="exact"/>
        <w:ind w:firstLine="420"/>
        <w:rPr>
          <w:color w:val="auto"/>
          <w:highlight w:val="none"/>
        </w:rPr>
      </w:pPr>
      <w:r>
        <w:rPr>
          <w:rFonts w:hint="eastAsia"/>
          <w:color w:val="auto"/>
          <w:highlight w:val="none"/>
        </w:rPr>
        <w:t>本单位对上述声明的真实性负责。如有虚假，将依法承担相应责任。</w:t>
      </w:r>
    </w:p>
    <w:p w14:paraId="464F339C">
      <w:pPr>
        <w:spacing w:line="400" w:lineRule="exact"/>
        <w:ind w:firstLine="420"/>
        <w:rPr>
          <w:color w:val="auto"/>
          <w:highlight w:val="none"/>
        </w:rPr>
      </w:pPr>
    </w:p>
    <w:p w14:paraId="44330D76">
      <w:pPr>
        <w:spacing w:line="400" w:lineRule="exact"/>
        <w:ind w:firstLine="420"/>
        <w:rPr>
          <w:color w:val="auto"/>
          <w:highlight w:val="none"/>
        </w:rPr>
      </w:pPr>
    </w:p>
    <w:p w14:paraId="2DD29D94">
      <w:pPr>
        <w:spacing w:line="400" w:lineRule="exact"/>
        <w:rPr>
          <w:color w:val="auto"/>
          <w:highlight w:val="none"/>
        </w:rPr>
      </w:pPr>
    </w:p>
    <w:p w14:paraId="144034D4">
      <w:pPr>
        <w:spacing w:line="400" w:lineRule="exact"/>
        <w:ind w:firstLine="4620"/>
        <w:rPr>
          <w:color w:val="auto"/>
          <w:highlight w:val="none"/>
        </w:rPr>
      </w:pPr>
      <w:r>
        <w:rPr>
          <w:rFonts w:hint="eastAsia"/>
          <w:color w:val="auto"/>
          <w:highlight w:val="none"/>
        </w:rPr>
        <w:t>单位名称（盖章）：</w:t>
      </w:r>
    </w:p>
    <w:p w14:paraId="36E87CC3">
      <w:pPr>
        <w:spacing w:line="400" w:lineRule="exact"/>
        <w:rPr>
          <w:color w:val="auto"/>
          <w:highlight w:val="none"/>
        </w:rPr>
      </w:pPr>
    </w:p>
    <w:p w14:paraId="1C0FAFBA">
      <w:pPr>
        <w:spacing w:line="400" w:lineRule="exact"/>
        <w:ind w:firstLine="4620"/>
        <w:rPr>
          <w:color w:val="auto"/>
          <w:highlight w:val="none"/>
        </w:rPr>
      </w:pPr>
      <w:r>
        <w:rPr>
          <w:rFonts w:hint="eastAsia"/>
          <w:color w:val="auto"/>
          <w:highlight w:val="none"/>
        </w:rPr>
        <w:t>日期：</w:t>
      </w:r>
    </w:p>
    <w:p w14:paraId="2A7AEFD1">
      <w:pPr>
        <w:spacing w:line="400" w:lineRule="exact"/>
        <w:jc w:val="left"/>
        <w:rPr>
          <w:rFonts w:ascii="宋体" w:hAnsi="宋体" w:cs="宋体"/>
          <w:color w:val="auto"/>
          <w:highlight w:val="none"/>
        </w:rPr>
      </w:pPr>
      <w:r>
        <w:rPr>
          <w:rFonts w:hint="eastAsia"/>
          <w:color w:val="auto"/>
          <w:sz w:val="21"/>
          <w:szCs w:val="21"/>
          <w:highlight w:val="none"/>
        </w:rPr>
        <w:br w:type="page" w:clear="all"/>
      </w:r>
      <w:r>
        <w:rPr>
          <w:rFonts w:hint="eastAsia" w:ascii="宋体" w:hAnsi="宋体" w:cs="宋体"/>
          <w:color w:val="auto"/>
          <w:sz w:val="28"/>
          <w:szCs w:val="28"/>
          <w:highlight w:val="none"/>
        </w:rPr>
        <w:t>3.6法定代表人身份证明书</w:t>
      </w:r>
    </w:p>
    <w:p w14:paraId="343BB7D2">
      <w:pPr>
        <w:tabs>
          <w:tab w:val="left" w:pos="2783"/>
          <w:tab w:val="center" w:pos="4932"/>
        </w:tabs>
        <w:spacing w:before="156" w:after="156" w:line="420" w:lineRule="exact"/>
        <w:jc w:val="left"/>
        <w:rPr>
          <w:rFonts w:ascii="宋体" w:hAnsi="宋体"/>
          <w:b/>
          <w:color w:val="auto"/>
          <w:sz w:val="28"/>
          <w:szCs w:val="28"/>
          <w:highlight w:val="none"/>
        </w:rPr>
      </w:pPr>
      <w:r>
        <w:rPr>
          <w:rFonts w:hint="eastAsia" w:ascii="宋体" w:hAnsi="宋体"/>
          <w:b/>
          <w:color w:val="auto"/>
          <w:sz w:val="28"/>
          <w:szCs w:val="28"/>
          <w:highlight w:val="none"/>
        </w:rPr>
        <w:tab/>
      </w:r>
      <w:r>
        <w:rPr>
          <w:rFonts w:hint="eastAsia" w:ascii="宋体" w:hAnsi="宋体"/>
          <w:b/>
          <w:color w:val="auto"/>
          <w:sz w:val="28"/>
          <w:szCs w:val="28"/>
          <w:highlight w:val="none"/>
        </w:rPr>
        <w:t>法定代表人身份证明书</w:t>
      </w:r>
    </w:p>
    <w:p w14:paraId="1B631FAD">
      <w:pPr>
        <w:spacing w:line="420" w:lineRule="exact"/>
        <w:rPr>
          <w:rFonts w:ascii="宋体" w:hAnsi="宋体"/>
          <w:b/>
          <w:color w:val="auto"/>
          <w:highlight w:val="none"/>
        </w:rPr>
      </w:pPr>
    </w:p>
    <w:p w14:paraId="1E9D46E6">
      <w:pPr>
        <w:spacing w:line="420" w:lineRule="exact"/>
        <w:ind w:firstLine="612"/>
        <w:rPr>
          <w:rFonts w:ascii="宋体" w:hAnsi="宋体"/>
          <w:color w:val="auto"/>
          <w:highlight w:val="none"/>
        </w:rPr>
      </w:pPr>
      <w:r>
        <w:rPr>
          <w:rFonts w:hint="eastAsia" w:ascii="宋体" w:hAnsi="宋体"/>
          <w:color w:val="auto"/>
          <w:highlight w:val="none"/>
        </w:rPr>
        <w:t>单位名称：</w:t>
      </w:r>
    </w:p>
    <w:p w14:paraId="1A463243">
      <w:pPr>
        <w:spacing w:line="420" w:lineRule="exact"/>
        <w:ind w:firstLine="610"/>
        <w:rPr>
          <w:rFonts w:ascii="宋体" w:hAnsi="宋体"/>
          <w:color w:val="auto"/>
          <w:highlight w:val="none"/>
          <w:u w:val="single"/>
        </w:rPr>
      </w:pPr>
      <w:r>
        <w:rPr>
          <w:rFonts w:hint="eastAsia" w:ascii="宋体" w:hAnsi="宋体"/>
          <w:color w:val="auto"/>
          <w:highlight w:val="none"/>
        </w:rPr>
        <w:t>单位性质：</w:t>
      </w:r>
    </w:p>
    <w:p w14:paraId="413DE91E">
      <w:pPr>
        <w:spacing w:line="420" w:lineRule="exact"/>
        <w:ind w:firstLine="610"/>
        <w:rPr>
          <w:rFonts w:ascii="宋体" w:hAnsi="宋体"/>
          <w:color w:val="auto"/>
          <w:highlight w:val="none"/>
          <w:u w:val="single"/>
        </w:rPr>
      </w:pPr>
      <w:r>
        <w:rPr>
          <w:rFonts w:hint="eastAsia" w:ascii="宋体" w:hAnsi="宋体"/>
          <w:color w:val="auto"/>
          <w:highlight w:val="none"/>
        </w:rPr>
        <w:t>地    址：</w:t>
      </w:r>
    </w:p>
    <w:p w14:paraId="5C41457D">
      <w:pPr>
        <w:spacing w:line="420" w:lineRule="exact"/>
        <w:ind w:firstLine="610"/>
        <w:rPr>
          <w:rFonts w:ascii="宋体" w:hAnsi="宋体"/>
          <w:color w:val="auto"/>
          <w:highlight w:val="none"/>
        </w:rPr>
      </w:pPr>
      <w:r>
        <w:rPr>
          <w:rFonts w:hint="eastAsia" w:ascii="宋体" w:hAnsi="宋体"/>
          <w:color w:val="auto"/>
          <w:highlight w:val="none"/>
        </w:rPr>
        <w:t>成立时间：   年   月   日</w:t>
      </w:r>
    </w:p>
    <w:p w14:paraId="30D04F34">
      <w:pPr>
        <w:spacing w:line="420" w:lineRule="exact"/>
        <w:ind w:firstLine="610"/>
        <w:rPr>
          <w:rFonts w:ascii="宋体" w:hAnsi="宋体"/>
          <w:color w:val="auto"/>
          <w:highlight w:val="none"/>
          <w:u w:val="single"/>
        </w:rPr>
      </w:pPr>
      <w:r>
        <w:rPr>
          <w:rFonts w:hint="eastAsia" w:ascii="宋体" w:hAnsi="宋体"/>
          <w:color w:val="auto"/>
          <w:highlight w:val="none"/>
        </w:rPr>
        <w:t>经营期限：</w:t>
      </w:r>
      <w:r>
        <w:rPr>
          <w:rFonts w:hint="eastAsia" w:ascii="宋体" w:hAnsi="宋体"/>
          <w:color w:val="auto"/>
          <w:highlight w:val="none"/>
          <w:u w:val="single"/>
        </w:rPr>
        <w:tab/>
      </w:r>
      <w:r>
        <w:rPr>
          <w:rFonts w:hint="eastAsia" w:ascii="宋体" w:hAnsi="宋体"/>
          <w:color w:val="auto"/>
          <w:highlight w:val="none"/>
          <w:u w:val="single"/>
        </w:rPr>
        <w:tab/>
      </w:r>
    </w:p>
    <w:p w14:paraId="7C356939">
      <w:pPr>
        <w:spacing w:line="420" w:lineRule="exact"/>
        <w:ind w:firstLine="610"/>
        <w:rPr>
          <w:rFonts w:ascii="宋体" w:hAnsi="宋体"/>
          <w:color w:val="auto"/>
          <w:highlight w:val="none"/>
        </w:rPr>
      </w:pPr>
      <w:r>
        <w:rPr>
          <w:rFonts w:hint="eastAsia" w:ascii="宋体" w:hAnsi="宋体"/>
          <w:color w:val="auto"/>
          <w:highlight w:val="none"/>
        </w:rPr>
        <w:t>姓    名：    性别：   年龄：</w:t>
      </w:r>
    </w:p>
    <w:p w14:paraId="21753DC1">
      <w:pPr>
        <w:spacing w:line="420" w:lineRule="exact"/>
        <w:ind w:firstLine="610"/>
        <w:rPr>
          <w:rFonts w:ascii="宋体" w:hAnsi="宋体"/>
          <w:color w:val="auto"/>
          <w:highlight w:val="none"/>
          <w:u w:val="single"/>
        </w:rPr>
      </w:pPr>
      <w:r>
        <w:rPr>
          <w:rFonts w:hint="eastAsia" w:ascii="宋体" w:hAnsi="宋体"/>
          <w:color w:val="auto"/>
          <w:highlight w:val="none"/>
        </w:rPr>
        <w:t>身份证号码：</w:t>
      </w:r>
    </w:p>
    <w:p w14:paraId="7AB78171">
      <w:pPr>
        <w:spacing w:line="420" w:lineRule="exact"/>
        <w:ind w:firstLine="610"/>
        <w:rPr>
          <w:rFonts w:ascii="宋体" w:hAnsi="宋体"/>
          <w:color w:val="auto"/>
          <w:highlight w:val="none"/>
        </w:rPr>
      </w:pPr>
      <w:r>
        <w:rPr>
          <w:rFonts w:hint="eastAsia" w:ascii="宋体" w:hAnsi="宋体"/>
          <w:color w:val="auto"/>
          <w:highlight w:val="none"/>
        </w:rPr>
        <w:t>系</w:t>
      </w:r>
      <w:r>
        <w:rPr>
          <w:rFonts w:hint="eastAsia" w:ascii="宋体" w:hAnsi="宋体"/>
          <w:color w:val="auto"/>
          <w:highlight w:val="none"/>
          <w:u w:val="single"/>
        </w:rPr>
        <w:t xml:space="preserve">          （供应商单位名称）         </w:t>
      </w:r>
      <w:r>
        <w:rPr>
          <w:rFonts w:hint="eastAsia" w:ascii="宋体" w:hAnsi="宋体"/>
          <w:color w:val="auto"/>
          <w:highlight w:val="none"/>
        </w:rPr>
        <w:t>的法定代表人。</w:t>
      </w:r>
    </w:p>
    <w:p w14:paraId="37E76BFD">
      <w:pPr>
        <w:spacing w:line="420" w:lineRule="exact"/>
        <w:ind w:firstLine="610"/>
        <w:rPr>
          <w:rFonts w:ascii="宋体" w:hAnsi="宋体"/>
          <w:color w:val="auto"/>
          <w:highlight w:val="none"/>
        </w:rPr>
      </w:pPr>
    </w:p>
    <w:p w14:paraId="2FE793B3">
      <w:pPr>
        <w:spacing w:line="420" w:lineRule="exact"/>
        <w:ind w:firstLine="610"/>
        <w:rPr>
          <w:rFonts w:ascii="宋体" w:hAnsi="宋体"/>
          <w:color w:val="auto"/>
          <w:highlight w:val="none"/>
        </w:rPr>
      </w:pPr>
      <w:r>
        <w:rPr>
          <w:rFonts w:hint="eastAsia" w:ascii="宋体" w:hAnsi="宋体"/>
          <w:color w:val="auto"/>
          <w:highlight w:val="none"/>
        </w:rPr>
        <w:t>特此证明。</w:t>
      </w:r>
    </w:p>
    <w:p w14:paraId="46B98313">
      <w:pPr>
        <w:tabs>
          <w:tab w:val="left" w:pos="720"/>
          <w:tab w:val="left" w:pos="900"/>
        </w:tabs>
        <w:spacing w:line="420" w:lineRule="exact"/>
        <w:ind w:firstLine="480"/>
        <w:rPr>
          <w:rFonts w:ascii="宋体" w:hAnsi="宋体"/>
          <w:color w:val="auto"/>
          <w:highlight w:val="none"/>
        </w:rPr>
      </w:pPr>
    </w:p>
    <w:p w14:paraId="2223CE0C">
      <w:pPr>
        <w:tabs>
          <w:tab w:val="left" w:pos="720"/>
          <w:tab w:val="left" w:pos="900"/>
        </w:tabs>
        <w:spacing w:line="420" w:lineRule="exact"/>
        <w:ind w:firstLine="480"/>
        <w:rPr>
          <w:rFonts w:ascii="宋体" w:hAnsi="宋体"/>
          <w:color w:val="auto"/>
          <w:highlight w:val="none"/>
        </w:rPr>
      </w:pPr>
      <w:r>
        <w:rPr>
          <w:rFonts w:hint="eastAsia" w:ascii="宋体" w:hAnsi="宋体"/>
          <w:color w:val="auto"/>
          <w:highlight w:val="none"/>
          <w:u w:val="single"/>
        </w:rPr>
        <w:t>（须附身份证复印件）</w:t>
      </w:r>
    </w:p>
    <w:p w14:paraId="1B8E75D5">
      <w:pPr>
        <w:tabs>
          <w:tab w:val="left" w:pos="720"/>
          <w:tab w:val="left" w:pos="900"/>
        </w:tabs>
        <w:spacing w:line="420" w:lineRule="exact"/>
        <w:ind w:firstLine="480"/>
        <w:rPr>
          <w:rFonts w:ascii="宋体" w:hAnsi="宋体"/>
          <w:color w:val="auto"/>
          <w:highlight w:val="none"/>
        </w:rPr>
      </w:pPr>
    </w:p>
    <w:p w14:paraId="028972B3">
      <w:pPr>
        <w:tabs>
          <w:tab w:val="left" w:pos="720"/>
          <w:tab w:val="left" w:pos="900"/>
        </w:tabs>
        <w:spacing w:line="420" w:lineRule="exact"/>
        <w:ind w:firstLine="4440"/>
        <w:rPr>
          <w:rFonts w:ascii="宋体" w:hAnsi="宋体"/>
          <w:color w:val="auto"/>
          <w:highlight w:val="none"/>
          <w:u w:val="single"/>
        </w:rPr>
      </w:pPr>
      <w:r>
        <w:rPr>
          <w:rFonts w:hint="eastAsia" w:ascii="宋体" w:hAnsi="宋体"/>
          <w:color w:val="auto"/>
          <w:highlight w:val="none"/>
        </w:rPr>
        <w:t>供应商：</w:t>
      </w:r>
      <w:r>
        <w:rPr>
          <w:rFonts w:hint="eastAsia" w:ascii="宋体" w:hAnsi="宋体"/>
          <w:color w:val="auto"/>
          <w:highlight w:val="none"/>
          <w:u w:val="single"/>
        </w:rPr>
        <w:t xml:space="preserve">             （盖公章）</w:t>
      </w:r>
    </w:p>
    <w:p w14:paraId="1063D30C">
      <w:pPr>
        <w:tabs>
          <w:tab w:val="left" w:pos="720"/>
          <w:tab w:val="left" w:pos="900"/>
        </w:tabs>
        <w:spacing w:line="420" w:lineRule="exact"/>
        <w:ind w:firstLine="4440"/>
        <w:rPr>
          <w:rFonts w:ascii="宋体" w:hAnsi="宋体"/>
          <w:color w:val="auto"/>
          <w:highlight w:val="none"/>
        </w:rPr>
      </w:pPr>
      <w:r>
        <w:rPr>
          <w:rFonts w:hint="eastAsia" w:ascii="宋体" w:hAnsi="宋体"/>
          <w:color w:val="auto"/>
          <w:highlight w:val="none"/>
        </w:rPr>
        <w:t>法定代表人</w:t>
      </w:r>
      <w:r>
        <w:rPr>
          <w:rFonts w:hint="eastAsia" w:ascii="宋体" w:hAnsi="宋体"/>
          <w:color w:val="auto"/>
          <w:highlight w:val="none"/>
          <w:lang w:eastAsia="zh-CN"/>
        </w:rPr>
        <w:t>签字或盖章</w:t>
      </w:r>
      <w:r>
        <w:rPr>
          <w:rFonts w:hint="eastAsia" w:ascii="宋体" w:hAnsi="宋体"/>
          <w:color w:val="auto"/>
          <w:highlight w:val="none"/>
        </w:rPr>
        <w:t>：</w:t>
      </w:r>
    </w:p>
    <w:p w14:paraId="112030AE">
      <w:pPr>
        <w:spacing w:line="440" w:lineRule="exact"/>
        <w:ind w:firstLine="4440"/>
        <w:rPr>
          <w:rFonts w:ascii="宋体" w:hAnsi="宋体"/>
          <w:color w:val="auto"/>
          <w:highlight w:val="none"/>
        </w:rPr>
      </w:pPr>
      <w:r>
        <w:rPr>
          <w:rFonts w:hint="eastAsia" w:ascii="宋体" w:hAnsi="宋体"/>
          <w:color w:val="auto"/>
          <w:highlight w:val="none"/>
        </w:rPr>
        <w:t>日  期：年月日</w:t>
      </w:r>
    </w:p>
    <w:p w14:paraId="44B0177C">
      <w:pPr>
        <w:spacing w:line="600" w:lineRule="exact"/>
        <w:jc w:val="left"/>
        <w:rPr>
          <w:rFonts w:ascii="宋体" w:hAnsi="宋体" w:cs="宋体"/>
          <w:color w:val="auto"/>
          <w:highlight w:val="none"/>
        </w:rPr>
      </w:pPr>
      <w:r>
        <w:rPr>
          <w:b/>
          <w:color w:val="auto"/>
          <w:sz w:val="32"/>
          <w:szCs w:val="32"/>
          <w:highlight w:val="none"/>
        </w:rPr>
        <w:br w:type="page" w:clear="all"/>
      </w:r>
      <w:r>
        <w:rPr>
          <w:rFonts w:hint="eastAsia" w:ascii="宋体" w:hAnsi="宋体" w:cs="宋体"/>
          <w:color w:val="auto"/>
          <w:sz w:val="28"/>
          <w:szCs w:val="28"/>
          <w:highlight w:val="none"/>
        </w:rPr>
        <w:t>3.7法定代表人授权委托书</w:t>
      </w:r>
    </w:p>
    <w:p w14:paraId="209ED096">
      <w:pPr>
        <w:spacing w:line="600" w:lineRule="exact"/>
        <w:ind w:firstLine="560"/>
        <w:jc w:val="center"/>
        <w:rPr>
          <w:rFonts w:ascii="宋体" w:hAnsi="宋体" w:cs="宋体"/>
          <w:color w:val="auto"/>
          <w:sz w:val="32"/>
          <w:szCs w:val="32"/>
          <w:highlight w:val="none"/>
        </w:rPr>
      </w:pPr>
      <w:r>
        <w:rPr>
          <w:rFonts w:hint="eastAsia" w:ascii="宋体" w:hAnsi="宋体" w:cs="宋体"/>
          <w:color w:val="auto"/>
          <w:sz w:val="32"/>
          <w:szCs w:val="32"/>
          <w:highlight w:val="none"/>
        </w:rPr>
        <w:t>法定代表人授权委托书</w:t>
      </w:r>
    </w:p>
    <w:p w14:paraId="3E02E58D">
      <w:pPr>
        <w:spacing w:line="400" w:lineRule="exact"/>
        <w:ind w:firstLine="560"/>
        <w:jc w:val="center"/>
        <w:rPr>
          <w:rFonts w:ascii="宋体" w:hAnsi="宋体" w:cs="宋体"/>
          <w:color w:val="auto"/>
          <w:szCs w:val="21"/>
          <w:highlight w:val="none"/>
        </w:rPr>
      </w:pPr>
    </w:p>
    <w:p w14:paraId="31860DE9">
      <w:pPr>
        <w:spacing w:line="500" w:lineRule="exact"/>
        <w:ind w:firstLine="560"/>
        <w:jc w:val="left"/>
        <w:rPr>
          <w:rFonts w:hint="default" w:ascii="宋体" w:hAnsi="宋体" w:eastAsia="宋体" w:cs="宋体"/>
          <w:color w:val="auto"/>
          <w:highlight w:val="none"/>
          <w:u w:val="single"/>
          <w:lang w:val="en-US" w:eastAsia="zh-CN"/>
        </w:rPr>
      </w:pPr>
      <w:r>
        <w:rPr>
          <w:rFonts w:hint="eastAsia" w:ascii="宋体" w:hAnsi="宋体" w:cs="宋体"/>
          <w:color w:val="auto"/>
          <w:highlight w:val="none"/>
        </w:rPr>
        <w:t>委托人：</w:t>
      </w:r>
      <w:r>
        <w:rPr>
          <w:rFonts w:hint="eastAsia" w:ascii="宋体" w:hAnsi="宋体" w:cs="宋体"/>
          <w:color w:val="auto"/>
          <w:highlight w:val="none"/>
          <w:u w:val="single"/>
          <w:lang w:val="en-US" w:eastAsia="zh-CN"/>
        </w:rPr>
        <w:t xml:space="preserve">                                         </w:t>
      </w:r>
    </w:p>
    <w:p w14:paraId="2F2BFB37">
      <w:pPr>
        <w:spacing w:line="500" w:lineRule="exact"/>
        <w:ind w:firstLine="560"/>
        <w:jc w:val="left"/>
        <w:rPr>
          <w:rFonts w:ascii="宋体" w:hAnsi="宋体" w:cs="宋体"/>
          <w:b/>
          <w:bCs/>
          <w:color w:val="auto"/>
          <w:highlight w:val="none"/>
          <w:u w:val="single"/>
        </w:rPr>
      </w:pPr>
      <w:r>
        <w:rPr>
          <w:rFonts w:hint="eastAsia" w:ascii="宋体" w:hAnsi="宋体" w:cs="宋体"/>
          <w:color w:val="auto"/>
          <w:highlight w:val="none"/>
        </w:rPr>
        <w:t>地  址：</w:t>
      </w:r>
      <w:r>
        <w:rPr>
          <w:rFonts w:hint="eastAsia" w:ascii="宋体" w:hAnsi="宋体" w:cs="宋体"/>
          <w:color w:val="auto"/>
          <w:highlight w:val="none"/>
          <w:u w:val="single"/>
          <w:lang w:val="en-US" w:eastAsia="zh-CN"/>
        </w:rPr>
        <w:t xml:space="preserve">                                         </w:t>
      </w:r>
    </w:p>
    <w:p w14:paraId="3E694D49">
      <w:pPr>
        <w:spacing w:line="500" w:lineRule="exact"/>
        <w:ind w:firstLine="560"/>
        <w:jc w:val="left"/>
        <w:rPr>
          <w:rFonts w:hint="default" w:ascii="宋体" w:hAnsi="宋体" w:cs="宋体"/>
          <w:color w:val="auto"/>
          <w:highlight w:val="none"/>
          <w:u w:val="single"/>
          <w:lang w:val="en-US"/>
        </w:rPr>
      </w:pPr>
      <w:r>
        <w:rPr>
          <w:rFonts w:hint="eastAsia" w:ascii="宋体" w:hAnsi="宋体" w:cs="宋体"/>
          <w:color w:val="auto"/>
          <w:highlight w:val="none"/>
        </w:rPr>
        <w:t>法定代表人：</w:t>
      </w:r>
      <w:r>
        <w:rPr>
          <w:rFonts w:hint="eastAsia" w:ascii="宋体" w:hAnsi="宋体" w:cs="宋体"/>
          <w:color w:val="auto"/>
          <w:highlight w:val="none"/>
          <w:u w:val="single"/>
          <w:lang w:val="en-US" w:eastAsia="zh-CN"/>
        </w:rPr>
        <w:t xml:space="preserve">                                      </w:t>
      </w:r>
    </w:p>
    <w:p w14:paraId="3EBF550E">
      <w:pPr>
        <w:spacing w:line="500" w:lineRule="exact"/>
        <w:ind w:firstLine="560"/>
        <w:jc w:val="left"/>
        <w:rPr>
          <w:rFonts w:ascii="宋体" w:hAnsi="宋体" w:cs="宋体"/>
          <w:color w:val="auto"/>
          <w:highlight w:val="none"/>
          <w:u w:val="single"/>
        </w:rPr>
      </w:pPr>
      <w:r>
        <w:rPr>
          <w:rFonts w:hint="eastAsia" w:ascii="宋体" w:hAnsi="宋体" w:cs="宋体"/>
          <w:color w:val="auto"/>
          <w:highlight w:val="none"/>
        </w:rPr>
        <w:t>受委托人：</w:t>
      </w:r>
      <w:r>
        <w:rPr>
          <w:rFonts w:hint="eastAsia" w:ascii="宋体" w:hAnsi="宋体" w:cs="宋体"/>
          <w:color w:val="auto"/>
          <w:highlight w:val="none"/>
          <w:u w:val="single"/>
          <w:lang w:val="en-US" w:eastAsia="zh-CN"/>
        </w:rPr>
        <w:t xml:space="preserve">                                         </w:t>
      </w:r>
    </w:p>
    <w:p w14:paraId="6DC97A88">
      <w:pPr>
        <w:spacing w:line="500" w:lineRule="exact"/>
        <w:ind w:firstLine="560"/>
        <w:jc w:val="left"/>
        <w:rPr>
          <w:rFonts w:ascii="宋体" w:hAnsi="宋体" w:cs="宋体"/>
          <w:color w:val="auto"/>
          <w:highlight w:val="none"/>
          <w:u w:val="single"/>
        </w:rPr>
      </w:pPr>
      <w:r>
        <w:rPr>
          <w:rFonts w:hint="eastAsia" w:ascii="宋体" w:hAnsi="宋体" w:cs="宋体"/>
          <w:color w:val="auto"/>
          <w:highlight w:val="none"/>
        </w:rPr>
        <w:t>受委托人居民身份证号码：</w:t>
      </w:r>
      <w:r>
        <w:rPr>
          <w:rFonts w:hint="eastAsia" w:ascii="宋体" w:hAnsi="宋体" w:cs="宋体"/>
          <w:color w:val="auto"/>
          <w:highlight w:val="none"/>
          <w:u w:val="single"/>
          <w:lang w:val="en-US" w:eastAsia="zh-CN"/>
        </w:rPr>
        <w:t xml:space="preserve">                           </w:t>
      </w:r>
    </w:p>
    <w:p w14:paraId="73304A74">
      <w:pPr>
        <w:spacing w:line="500" w:lineRule="exact"/>
        <w:ind w:firstLine="560"/>
        <w:jc w:val="left"/>
        <w:rPr>
          <w:rFonts w:hint="default" w:ascii="宋体" w:hAnsi="宋体" w:cs="宋体"/>
          <w:color w:val="auto"/>
          <w:highlight w:val="none"/>
          <w:u w:val="single"/>
          <w:lang w:val="en-US"/>
        </w:rPr>
      </w:pPr>
      <w:r>
        <w:rPr>
          <w:rFonts w:hint="eastAsia" w:ascii="宋体" w:hAnsi="宋体" w:cs="宋体"/>
          <w:color w:val="auto"/>
          <w:highlight w:val="none"/>
        </w:rPr>
        <w:t>受委托人电话：</w:t>
      </w:r>
      <w:r>
        <w:rPr>
          <w:rFonts w:hint="eastAsia" w:ascii="宋体" w:hAnsi="宋体" w:cs="宋体"/>
          <w:color w:val="auto"/>
          <w:highlight w:val="none"/>
          <w:u w:val="single"/>
          <w:lang w:val="en-US" w:eastAsia="zh-CN"/>
        </w:rPr>
        <w:t xml:space="preserve">                                     </w:t>
      </w:r>
    </w:p>
    <w:p w14:paraId="4568EB9D">
      <w:pPr>
        <w:spacing w:line="500" w:lineRule="exact"/>
        <w:ind w:firstLine="560"/>
        <w:jc w:val="left"/>
        <w:rPr>
          <w:rFonts w:ascii="宋体" w:hAnsi="宋体" w:cs="宋体"/>
          <w:color w:val="auto"/>
          <w:highlight w:val="none"/>
        </w:rPr>
      </w:pPr>
      <w:r>
        <w:rPr>
          <w:rFonts w:hint="eastAsia" w:ascii="宋体" w:hAnsi="宋体" w:cs="宋体"/>
          <w:color w:val="auto"/>
          <w:highlight w:val="none"/>
        </w:rPr>
        <w:t>现委托上述受委托人在</w:t>
      </w:r>
      <w:r>
        <w:rPr>
          <w:rFonts w:hint="eastAsia" w:ascii="宋体" w:hAnsi="宋体" w:cs="宋体"/>
          <w:color w:val="auto"/>
          <w:highlight w:val="none"/>
          <w:u w:val="single"/>
        </w:rPr>
        <w:t xml:space="preserve">         （采购项目名称）         </w:t>
      </w:r>
      <w:r>
        <w:rPr>
          <w:rFonts w:hint="eastAsia" w:ascii="宋体" w:hAnsi="宋体" w:cs="宋体"/>
          <w:color w:val="auto"/>
          <w:highlight w:val="none"/>
        </w:rPr>
        <w:t>竞争性磋商活动中，作为委托人的授权委托人。</w:t>
      </w:r>
    </w:p>
    <w:p w14:paraId="2EADD201">
      <w:pPr>
        <w:spacing w:line="500" w:lineRule="exact"/>
        <w:ind w:firstLine="560"/>
        <w:jc w:val="left"/>
        <w:rPr>
          <w:rFonts w:ascii="宋体" w:hAnsi="宋体" w:cs="宋体"/>
          <w:color w:val="auto"/>
          <w:highlight w:val="none"/>
        </w:rPr>
      </w:pPr>
      <w:r>
        <w:rPr>
          <w:rFonts w:hint="eastAsia" w:ascii="宋体" w:hAnsi="宋体" w:cs="宋体"/>
          <w:color w:val="auto"/>
          <w:highlight w:val="none"/>
        </w:rPr>
        <w:t>委托权限：领取竞争性磋商文件、与采购人（采购代理机构）接洽各项磋商事宜，编制、签署、递交、澄清、说明、补正响应文件，参加磋商，签订合同和处理有关事宜等特别授权。受委托人联合行使或独立行使的委托权限，其法律后果由委托人承担。</w:t>
      </w:r>
    </w:p>
    <w:p w14:paraId="66D4134D">
      <w:pPr>
        <w:spacing w:line="500" w:lineRule="exact"/>
        <w:ind w:firstLine="560"/>
        <w:jc w:val="left"/>
        <w:rPr>
          <w:rFonts w:ascii="宋体" w:hAnsi="宋体" w:cs="宋体"/>
          <w:color w:val="auto"/>
          <w:highlight w:val="none"/>
        </w:rPr>
      </w:pPr>
      <w:r>
        <w:rPr>
          <w:rFonts w:hint="eastAsia" w:ascii="宋体" w:hAnsi="宋体" w:cs="宋体"/>
          <w:color w:val="auto"/>
          <w:highlight w:val="none"/>
        </w:rPr>
        <w:t>授权委托人无转委托权。采购人（采购代理机构）有权拒绝其他任何代表委托人行使的投标事宜，以及超出本授权范围的其他事宜。</w:t>
      </w:r>
    </w:p>
    <w:p w14:paraId="41010714">
      <w:pPr>
        <w:spacing w:line="500" w:lineRule="exact"/>
        <w:ind w:firstLine="560"/>
        <w:jc w:val="left"/>
        <w:rPr>
          <w:rFonts w:ascii="宋体" w:hAnsi="宋体" w:cs="宋体"/>
          <w:color w:val="auto"/>
          <w:highlight w:val="none"/>
        </w:rPr>
      </w:pPr>
      <w:r>
        <w:rPr>
          <w:rFonts w:hint="eastAsia" w:ascii="宋体" w:hAnsi="宋体" w:cs="宋体"/>
          <w:color w:val="auto"/>
          <w:highlight w:val="none"/>
        </w:rPr>
        <w:t>委托期限自年月日起，至 年月日止。</w:t>
      </w:r>
    </w:p>
    <w:p w14:paraId="6F469230">
      <w:pPr>
        <w:spacing w:line="500" w:lineRule="exact"/>
        <w:ind w:firstLine="560"/>
        <w:jc w:val="left"/>
        <w:rPr>
          <w:rFonts w:ascii="宋体" w:hAnsi="宋体" w:cs="宋体"/>
          <w:color w:val="auto"/>
          <w:highlight w:val="none"/>
        </w:rPr>
      </w:pPr>
    </w:p>
    <w:p w14:paraId="79DD5B60">
      <w:pPr>
        <w:spacing w:line="500" w:lineRule="exact"/>
        <w:ind w:firstLine="560"/>
        <w:jc w:val="left"/>
        <w:rPr>
          <w:rFonts w:ascii="宋体" w:hAnsi="宋体" w:cs="宋体"/>
          <w:color w:val="auto"/>
          <w:highlight w:val="none"/>
        </w:rPr>
      </w:pPr>
    </w:p>
    <w:p w14:paraId="2DC0CF5B">
      <w:pPr>
        <w:spacing w:line="500" w:lineRule="exact"/>
        <w:ind w:firstLine="560"/>
        <w:jc w:val="left"/>
        <w:rPr>
          <w:rFonts w:ascii="宋体" w:hAnsi="宋体" w:cs="宋体"/>
          <w:color w:val="auto"/>
          <w:highlight w:val="none"/>
        </w:rPr>
      </w:pPr>
      <w:r>
        <w:rPr>
          <w:rFonts w:hint="eastAsia" w:ascii="宋体" w:hAnsi="宋体"/>
          <w:color w:val="auto"/>
          <w:highlight w:val="none"/>
          <w:u w:val="single"/>
        </w:rPr>
        <w:t>（须附法定代表人、受委托人身份证复印件</w:t>
      </w:r>
      <w:r>
        <w:rPr>
          <w:rFonts w:hint="eastAsia" w:ascii="宋体" w:hAnsi="宋体" w:cs="宋体"/>
          <w:color w:val="auto"/>
          <w:highlight w:val="none"/>
          <w:u w:val="single"/>
        </w:rPr>
        <w:t>）</w:t>
      </w:r>
    </w:p>
    <w:p w14:paraId="1853002C">
      <w:pPr>
        <w:spacing w:line="500" w:lineRule="exact"/>
        <w:ind w:firstLine="560"/>
        <w:jc w:val="left"/>
        <w:rPr>
          <w:rFonts w:ascii="宋体" w:hAnsi="宋体" w:cs="宋体"/>
          <w:color w:val="auto"/>
          <w:highlight w:val="none"/>
        </w:rPr>
      </w:pPr>
      <w:r>
        <w:rPr>
          <w:rFonts w:hint="eastAsia" w:ascii="宋体" w:hAnsi="宋体" w:cs="宋体"/>
          <w:color w:val="auto"/>
          <w:highlight w:val="none"/>
        </w:rPr>
        <w:t xml:space="preserve">                              委托人（盖法人公章）：</w:t>
      </w:r>
    </w:p>
    <w:p w14:paraId="354F4672">
      <w:pPr>
        <w:spacing w:line="500" w:lineRule="exact"/>
        <w:ind w:left="3635" w:hanging="3005"/>
        <w:jc w:val="left"/>
        <w:rPr>
          <w:rFonts w:ascii="宋体" w:hAnsi="宋体" w:cs="宋体"/>
          <w:color w:val="auto"/>
          <w:highlight w:val="none"/>
        </w:rPr>
      </w:pPr>
      <w:r>
        <w:rPr>
          <w:rFonts w:hint="eastAsia" w:ascii="宋体" w:hAnsi="宋体" w:cs="宋体"/>
          <w:color w:val="auto"/>
          <w:highlight w:val="none"/>
        </w:rPr>
        <w:t xml:space="preserve">                             法定代表人（</w:t>
      </w:r>
      <w:r>
        <w:rPr>
          <w:rFonts w:hint="eastAsia" w:ascii="宋体" w:hAnsi="宋体" w:cs="宋体"/>
          <w:color w:val="auto"/>
          <w:highlight w:val="none"/>
          <w:lang w:eastAsia="zh-CN"/>
        </w:rPr>
        <w:t>签字或盖章</w:t>
      </w:r>
      <w:r>
        <w:rPr>
          <w:rFonts w:hint="eastAsia" w:ascii="宋体" w:hAnsi="宋体" w:cs="宋体"/>
          <w:color w:val="auto"/>
          <w:highlight w:val="none"/>
        </w:rPr>
        <w:t>）：</w:t>
      </w:r>
    </w:p>
    <w:p w14:paraId="7F8303FD">
      <w:pPr>
        <w:spacing w:line="500" w:lineRule="exact"/>
        <w:ind w:left="3635" w:hanging="1745"/>
        <w:jc w:val="left"/>
        <w:rPr>
          <w:rFonts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szCs w:val="21"/>
          <w:highlight w:val="none"/>
        </w:rPr>
        <w:t>授权委托人</w:t>
      </w:r>
      <w:r>
        <w:rPr>
          <w:rFonts w:hint="eastAsia" w:ascii="宋体" w:hAnsi="宋体" w:cs="宋体"/>
          <w:color w:val="auto"/>
          <w:highlight w:val="none"/>
        </w:rPr>
        <w:t>（</w:t>
      </w:r>
      <w:r>
        <w:rPr>
          <w:rFonts w:hint="eastAsia" w:ascii="宋体" w:hAnsi="宋体" w:cs="宋体"/>
          <w:color w:val="auto"/>
          <w:highlight w:val="none"/>
          <w:lang w:eastAsia="zh-CN"/>
        </w:rPr>
        <w:t>签字或盖章</w:t>
      </w:r>
      <w:r>
        <w:rPr>
          <w:rFonts w:hint="eastAsia" w:ascii="宋体" w:hAnsi="宋体" w:cs="宋体"/>
          <w:color w:val="auto"/>
          <w:highlight w:val="none"/>
        </w:rPr>
        <w:t>）：</w:t>
      </w:r>
    </w:p>
    <w:p w14:paraId="3BDAB2B5">
      <w:pPr>
        <w:spacing w:line="500" w:lineRule="exact"/>
        <w:ind w:firstLine="4046"/>
        <w:jc w:val="left"/>
        <w:rPr>
          <w:rFonts w:ascii="宋体" w:hAnsi="宋体" w:cs="宋体"/>
          <w:color w:val="auto"/>
          <w:highlight w:val="none"/>
        </w:rPr>
      </w:pPr>
      <w:r>
        <w:rPr>
          <w:rFonts w:hint="eastAsia" w:ascii="宋体" w:hAnsi="宋体" w:cs="宋体"/>
          <w:color w:val="auto"/>
          <w:highlight w:val="none"/>
        </w:rPr>
        <w:t>日   期：    年  月  日</w:t>
      </w:r>
    </w:p>
    <w:p w14:paraId="4AE6B1BE">
      <w:pPr>
        <w:spacing w:line="600" w:lineRule="exact"/>
        <w:jc w:val="left"/>
        <w:rPr>
          <w:rFonts w:ascii="宋体" w:hAnsi="宋体" w:cs="宋体"/>
          <w:color w:val="auto"/>
          <w:highlight w:val="none"/>
        </w:rPr>
      </w:pPr>
    </w:p>
    <w:p w14:paraId="4980B2AA">
      <w:pPr>
        <w:spacing w:line="600" w:lineRule="exact"/>
        <w:jc w:val="left"/>
        <w:rPr>
          <w:rFonts w:ascii="宋体" w:hAnsi="宋体" w:cs="宋体"/>
          <w:color w:val="auto"/>
          <w:highlight w:val="none"/>
        </w:rPr>
      </w:pPr>
    </w:p>
    <w:p w14:paraId="2071C414">
      <w:pPr>
        <w:spacing w:line="600" w:lineRule="exact"/>
        <w:jc w:val="left"/>
        <w:rPr>
          <w:rFonts w:ascii="宋体" w:hAnsi="宋体" w:cs="宋体"/>
          <w:color w:val="auto"/>
          <w:sz w:val="28"/>
          <w:szCs w:val="28"/>
          <w:highlight w:val="none"/>
        </w:rPr>
      </w:pPr>
    </w:p>
    <w:p w14:paraId="271BFEAA">
      <w:pPr>
        <w:pStyle w:val="283"/>
        <w:rPr>
          <w:color w:val="auto"/>
          <w:highlight w:val="none"/>
        </w:rPr>
      </w:pPr>
      <w:r>
        <w:rPr>
          <w:rFonts w:hint="eastAsia" w:ascii="宋体" w:hAnsi="宋体" w:cs="宋体"/>
          <w:color w:val="auto"/>
          <w:sz w:val="28"/>
          <w:szCs w:val="28"/>
          <w:highlight w:val="none"/>
        </w:rPr>
        <w:t>3.8诚信投标承诺书</w:t>
      </w:r>
    </w:p>
    <w:p w14:paraId="2623D460">
      <w:pPr>
        <w:pStyle w:val="286"/>
        <w:jc w:val="center"/>
        <w:rPr>
          <w:b/>
          <w:bCs/>
          <w:color w:val="auto"/>
          <w:highlight w:val="none"/>
        </w:rPr>
      </w:pPr>
      <w:r>
        <w:rPr>
          <w:rFonts w:hint="eastAsia"/>
          <w:b/>
          <w:bCs/>
          <w:color w:val="auto"/>
          <w:highlight w:val="none"/>
        </w:rPr>
        <w:t>诚信投标承诺书</w:t>
      </w:r>
    </w:p>
    <w:p w14:paraId="6D08153D">
      <w:pPr>
        <w:spacing w:line="360" w:lineRule="auto"/>
        <w:jc w:val="left"/>
        <w:rPr>
          <w:rFonts w:ascii="宋体" w:hAnsi="宋体" w:cs="宋体"/>
          <w:color w:val="auto"/>
          <w:highlight w:val="none"/>
        </w:rPr>
      </w:pPr>
      <w:r>
        <w:rPr>
          <w:rFonts w:hint="eastAsia" w:ascii="宋体" w:hAnsi="宋体" w:cs="宋体"/>
          <w:color w:val="auto"/>
          <w:highlight w:val="none"/>
          <w:u w:val="single"/>
        </w:rPr>
        <w:t xml:space="preserve">（采购人）    </w:t>
      </w:r>
      <w:r>
        <w:rPr>
          <w:rFonts w:hint="eastAsia" w:ascii="宋体" w:hAnsi="宋体" w:cs="宋体"/>
          <w:color w:val="auto"/>
          <w:highlight w:val="none"/>
        </w:rPr>
        <w:t>：</w:t>
      </w:r>
    </w:p>
    <w:p w14:paraId="45713D65">
      <w:pPr>
        <w:spacing w:line="360" w:lineRule="auto"/>
        <w:ind w:firstLine="480"/>
        <w:rPr>
          <w:rFonts w:ascii="宋体" w:hAnsi="宋体" w:cs="宋体"/>
          <w:color w:val="auto"/>
          <w:highlight w:val="none"/>
        </w:rPr>
      </w:pPr>
      <w:r>
        <w:rPr>
          <w:rFonts w:hint="eastAsia" w:ascii="宋体" w:hAnsi="宋体" w:cs="宋体"/>
          <w:color w:val="auto"/>
          <w:szCs w:val="21"/>
          <w:highlight w:val="none"/>
          <w:u w:val="single"/>
        </w:rPr>
        <w:t xml:space="preserve">       （供应商名称）</w:t>
      </w:r>
      <w:r>
        <w:rPr>
          <w:rFonts w:hint="eastAsia" w:ascii="宋体" w:hAnsi="宋体" w:cs="宋体"/>
          <w:color w:val="auto"/>
          <w:highlight w:val="none"/>
        </w:rPr>
        <w:t>自愿参加</w:t>
      </w:r>
      <w:r>
        <w:rPr>
          <w:rFonts w:hint="eastAsia" w:ascii="宋体" w:hAnsi="宋体" w:cs="宋体"/>
          <w:color w:val="auto"/>
          <w:highlight w:val="none"/>
          <w:u w:val="single"/>
        </w:rPr>
        <w:t xml:space="preserve">              （项目名称）</w:t>
      </w:r>
      <w:r>
        <w:rPr>
          <w:rFonts w:hint="eastAsia" w:ascii="宋体" w:hAnsi="宋体" w:cs="宋体"/>
          <w:color w:val="auto"/>
          <w:highlight w:val="none"/>
        </w:rPr>
        <w:t>的竞争性磋商活动，并做如下承诺：</w:t>
      </w:r>
    </w:p>
    <w:p w14:paraId="05881136">
      <w:pPr>
        <w:spacing w:line="360" w:lineRule="auto"/>
        <w:ind w:firstLine="480"/>
        <w:rPr>
          <w:rFonts w:ascii="宋体" w:hAnsi="宋体" w:cs="宋体"/>
          <w:color w:val="auto"/>
          <w:highlight w:val="none"/>
        </w:rPr>
      </w:pPr>
      <w:r>
        <w:rPr>
          <w:rFonts w:hint="eastAsia" w:ascii="宋体" w:hAnsi="宋体" w:cs="宋体"/>
          <w:color w:val="auto"/>
          <w:highlight w:val="none"/>
        </w:rPr>
        <w:t>1.在本项目的竞争性磋商活动中，自觉遵守相关法律法规的规定，遵循诚实信用的原则。</w:t>
      </w:r>
    </w:p>
    <w:p w14:paraId="0B8846BA">
      <w:pPr>
        <w:spacing w:line="360" w:lineRule="auto"/>
        <w:ind w:firstLine="480"/>
        <w:rPr>
          <w:rFonts w:ascii="宋体" w:hAnsi="宋体" w:cs="宋体"/>
          <w:color w:val="auto"/>
          <w:highlight w:val="none"/>
        </w:rPr>
      </w:pPr>
      <w:r>
        <w:rPr>
          <w:rFonts w:hint="eastAsia" w:ascii="宋体" w:hAnsi="宋体" w:cs="宋体"/>
          <w:color w:val="auto"/>
          <w:highlight w:val="none"/>
        </w:rPr>
        <w:t>2.响应文件中所有内容均为我单位真实意思表达，且均已核实并保证真实有效。</w:t>
      </w:r>
    </w:p>
    <w:p w14:paraId="1174785C">
      <w:pPr>
        <w:spacing w:line="360" w:lineRule="auto"/>
        <w:ind w:firstLine="480"/>
        <w:rPr>
          <w:rFonts w:ascii="宋体" w:hAnsi="宋体" w:cs="宋体"/>
          <w:color w:val="auto"/>
          <w:highlight w:val="none"/>
        </w:rPr>
      </w:pPr>
      <w:r>
        <w:rPr>
          <w:rFonts w:hint="eastAsia" w:ascii="宋体" w:hAnsi="宋体" w:cs="宋体"/>
          <w:color w:val="auto"/>
          <w:highlight w:val="none"/>
        </w:rPr>
        <w:t>3.无法律、法规及磋商文件中规定的限制参加投标的行为。</w:t>
      </w:r>
    </w:p>
    <w:p w14:paraId="2362EF23">
      <w:pPr>
        <w:spacing w:line="360" w:lineRule="auto"/>
        <w:ind w:firstLine="480"/>
        <w:rPr>
          <w:rFonts w:ascii="宋体" w:hAnsi="宋体" w:cs="宋体"/>
          <w:color w:val="auto"/>
          <w:highlight w:val="none"/>
        </w:rPr>
      </w:pPr>
      <w:r>
        <w:rPr>
          <w:rFonts w:hint="eastAsia" w:ascii="宋体" w:hAnsi="宋体" w:cs="宋体"/>
          <w:color w:val="auto"/>
          <w:highlight w:val="none"/>
        </w:rPr>
        <w:t>4.不以他人名义投标或者以其他方式弄虚作假，骗取成交。</w:t>
      </w:r>
    </w:p>
    <w:p w14:paraId="7B004ED1">
      <w:pPr>
        <w:spacing w:line="360" w:lineRule="auto"/>
        <w:ind w:firstLine="480"/>
        <w:rPr>
          <w:rFonts w:ascii="宋体" w:hAnsi="宋体" w:cs="宋体"/>
          <w:color w:val="auto"/>
          <w:highlight w:val="none"/>
        </w:rPr>
      </w:pPr>
      <w:r>
        <w:rPr>
          <w:rFonts w:hint="eastAsia" w:ascii="宋体" w:hAnsi="宋体" w:cs="宋体"/>
          <w:color w:val="auto"/>
          <w:highlight w:val="none"/>
        </w:rPr>
        <w:t>5.不与采购人（招标代理）或其他供应商相互串通投标，损害国家利益、社会公共利益或者他人的合法权益。</w:t>
      </w:r>
    </w:p>
    <w:p w14:paraId="00CFFED9">
      <w:pPr>
        <w:spacing w:line="360" w:lineRule="auto"/>
        <w:ind w:firstLine="480"/>
        <w:rPr>
          <w:rFonts w:ascii="宋体" w:hAnsi="宋体" w:cs="宋体"/>
          <w:color w:val="auto"/>
          <w:highlight w:val="none"/>
        </w:rPr>
      </w:pPr>
      <w:r>
        <w:rPr>
          <w:rFonts w:hint="eastAsia" w:ascii="宋体" w:hAnsi="宋体" w:cs="宋体"/>
          <w:color w:val="auto"/>
          <w:highlight w:val="none"/>
        </w:rPr>
        <w:t>6.公平竞争，不背后搞小动作，无恶意投诉、诋毁、排挤其他供应商的行为。</w:t>
      </w:r>
    </w:p>
    <w:p w14:paraId="53D6D222">
      <w:pPr>
        <w:spacing w:line="360" w:lineRule="auto"/>
        <w:ind w:firstLine="480"/>
        <w:rPr>
          <w:rFonts w:ascii="宋体" w:hAnsi="宋体" w:cs="宋体"/>
          <w:color w:val="auto"/>
          <w:highlight w:val="none"/>
        </w:rPr>
      </w:pPr>
      <w:r>
        <w:rPr>
          <w:rFonts w:hint="eastAsia" w:ascii="宋体" w:hAnsi="宋体" w:cs="宋体"/>
          <w:color w:val="auto"/>
          <w:highlight w:val="none"/>
        </w:rPr>
        <w:t>7.不向采购人（招标代理）或者磋商小组成员行贿、打招呼，以谋取成交。</w:t>
      </w:r>
    </w:p>
    <w:p w14:paraId="5AF0A911">
      <w:pPr>
        <w:spacing w:line="360" w:lineRule="auto"/>
        <w:ind w:firstLine="480"/>
        <w:rPr>
          <w:rFonts w:ascii="宋体" w:hAnsi="宋体" w:cs="宋体"/>
          <w:color w:val="auto"/>
          <w:highlight w:val="none"/>
        </w:rPr>
      </w:pPr>
      <w:r>
        <w:rPr>
          <w:rFonts w:hint="eastAsia" w:ascii="宋体" w:hAnsi="宋体" w:cs="宋体"/>
          <w:color w:val="auto"/>
          <w:highlight w:val="none"/>
        </w:rPr>
        <w:t>8.成交后在响应文件规定的时间内依法与采购人签订合同。</w:t>
      </w:r>
    </w:p>
    <w:p w14:paraId="077ABB17">
      <w:pPr>
        <w:spacing w:line="360" w:lineRule="auto"/>
        <w:ind w:firstLine="480"/>
        <w:rPr>
          <w:rFonts w:ascii="宋体" w:hAnsi="宋体" w:cs="宋体"/>
          <w:color w:val="auto"/>
          <w:highlight w:val="none"/>
        </w:rPr>
      </w:pPr>
      <w:r>
        <w:rPr>
          <w:rFonts w:hint="eastAsia" w:ascii="宋体" w:hAnsi="宋体" w:cs="宋体"/>
          <w:color w:val="auto"/>
          <w:highlight w:val="none"/>
        </w:rPr>
        <w:t>9.不进行缺乏事实根据或法律依据的投诉。</w:t>
      </w:r>
    </w:p>
    <w:p w14:paraId="57BFBEDB">
      <w:pPr>
        <w:spacing w:line="360" w:lineRule="auto"/>
        <w:ind w:firstLine="480"/>
        <w:rPr>
          <w:rFonts w:ascii="宋体" w:hAnsi="宋体" w:cs="宋体"/>
          <w:color w:val="auto"/>
          <w:highlight w:val="none"/>
        </w:rPr>
      </w:pPr>
      <w:r>
        <w:rPr>
          <w:rFonts w:hint="eastAsia" w:ascii="宋体" w:hAnsi="宋体" w:cs="宋体"/>
          <w:color w:val="auto"/>
          <w:highlight w:val="none"/>
        </w:rPr>
        <w:t>10.本公司拟派往本工程的项目负责人现阶段没有担任其他在建工程项目的项目经理。</w:t>
      </w:r>
    </w:p>
    <w:p w14:paraId="6A64C7DC">
      <w:pPr>
        <w:spacing w:line="360" w:lineRule="auto"/>
        <w:ind w:firstLine="480"/>
        <w:rPr>
          <w:rFonts w:ascii="宋体" w:hAnsi="宋体" w:cs="宋体"/>
          <w:color w:val="auto"/>
          <w:highlight w:val="none"/>
        </w:rPr>
      </w:pPr>
      <w:r>
        <w:rPr>
          <w:rFonts w:hint="eastAsia" w:ascii="宋体" w:hAnsi="宋体" w:cs="宋体"/>
          <w:color w:val="auto"/>
          <w:highlight w:val="none"/>
        </w:rPr>
        <w:t>11.本公司拟派往本工程的项目负责人未同时在两个或者两个以上单位受聘或者执业。</w:t>
      </w:r>
    </w:p>
    <w:p w14:paraId="336C4FF8">
      <w:pPr>
        <w:spacing w:line="360" w:lineRule="auto"/>
        <w:ind w:firstLine="480"/>
        <w:rPr>
          <w:rFonts w:ascii="宋体" w:hAnsi="宋体" w:cs="宋体"/>
          <w:color w:val="auto"/>
          <w:highlight w:val="none"/>
        </w:rPr>
      </w:pPr>
      <w:r>
        <w:rPr>
          <w:rFonts w:hint="eastAsia" w:ascii="宋体" w:hAnsi="宋体" w:cs="宋体"/>
          <w:color w:val="auto"/>
          <w:highlight w:val="none"/>
        </w:rPr>
        <w:t>12.无建筑市场不良行为在江苏建设工程招标网、泰州市住房和城乡建设局官网、泰州市公共资源交易平台上被曝光。</w:t>
      </w:r>
    </w:p>
    <w:p w14:paraId="67A20992">
      <w:pPr>
        <w:spacing w:line="360" w:lineRule="auto"/>
        <w:ind w:left="480"/>
        <w:rPr>
          <w:rFonts w:ascii="宋体" w:hAnsi="宋体" w:cs="宋体"/>
          <w:color w:val="auto"/>
          <w:highlight w:val="none"/>
        </w:rPr>
      </w:pPr>
      <w:r>
        <w:rPr>
          <w:rFonts w:hint="eastAsia" w:ascii="宋体" w:hAnsi="宋体" w:cs="宋体"/>
          <w:color w:val="auto"/>
          <w:highlight w:val="none"/>
        </w:rPr>
        <w:t>13.不存在竞争性磋商文件第二章供应商须知第1.4.4项规定的情形。</w:t>
      </w:r>
      <w:r>
        <w:rPr>
          <w:rFonts w:hint="eastAsia" w:ascii="宋体" w:hAnsi="宋体" w:cs="宋体"/>
          <w:color w:val="auto"/>
          <w:highlight w:val="none"/>
        </w:rPr>
        <w:br w:type="textWrapping"/>
      </w:r>
      <w:r>
        <w:rPr>
          <w:rFonts w:hint="eastAsia" w:ascii="宋体" w:hAnsi="宋体" w:cs="宋体"/>
          <w:color w:val="auto"/>
          <w:highlight w:val="none"/>
        </w:rPr>
        <w:t>14.符合竞争性磋商公告</w:t>
      </w:r>
      <w:r>
        <w:rPr>
          <w:rFonts w:hint="eastAsia" w:ascii="仿宋" w:hAnsi="仿宋" w:eastAsia="仿宋"/>
          <w:bCs/>
          <w:color w:val="auto"/>
          <w:szCs w:val="21"/>
          <w:highlight w:val="none"/>
        </w:rPr>
        <w:t>二.（三）.(4)、二.（三）.(5).①②</w:t>
      </w:r>
      <w:r>
        <w:rPr>
          <w:rFonts w:hint="eastAsia" w:ascii="宋体" w:hAnsi="宋体" w:cs="宋体"/>
          <w:color w:val="auto"/>
          <w:highlight w:val="none"/>
        </w:rPr>
        <w:t>的规定。</w:t>
      </w:r>
    </w:p>
    <w:p w14:paraId="64C75C9F">
      <w:pPr>
        <w:spacing w:line="360" w:lineRule="auto"/>
        <w:ind w:firstLine="480"/>
        <w:rPr>
          <w:rFonts w:ascii="宋体" w:hAnsi="宋体" w:cs="宋体"/>
          <w:color w:val="auto"/>
          <w:highlight w:val="none"/>
        </w:rPr>
      </w:pPr>
      <w:r>
        <w:rPr>
          <w:rFonts w:hint="eastAsia" w:ascii="宋体" w:hAnsi="宋体" w:cs="宋体"/>
          <w:color w:val="auto"/>
          <w:highlight w:val="none"/>
        </w:rPr>
        <w:t>如我单位违反上述承诺内容，自愿接受采购人、主管部门调查处理，并承担由此引发的一切后果。</w:t>
      </w:r>
    </w:p>
    <w:p w14:paraId="25EA17A8">
      <w:pPr>
        <w:spacing w:line="360" w:lineRule="auto"/>
        <w:ind w:firstLine="480"/>
        <w:rPr>
          <w:rFonts w:ascii="宋体" w:hAnsi="宋体" w:cs="宋体"/>
          <w:color w:val="auto"/>
          <w:highlight w:val="none"/>
          <w:u w:val="single"/>
        </w:rPr>
      </w:pPr>
      <w:r>
        <w:rPr>
          <w:rFonts w:hint="eastAsia" w:ascii="宋体" w:hAnsi="宋体" w:cs="宋体"/>
          <w:color w:val="auto"/>
          <w:szCs w:val="21"/>
          <w:highlight w:val="none"/>
        </w:rPr>
        <w:t>承诺人（盖法人公章）</w:t>
      </w:r>
      <w:r>
        <w:rPr>
          <w:rFonts w:hint="eastAsia" w:ascii="宋体" w:hAnsi="宋体" w:cs="宋体"/>
          <w:color w:val="auto"/>
          <w:highlight w:val="none"/>
        </w:rPr>
        <w:t>：</w:t>
      </w:r>
    </w:p>
    <w:p w14:paraId="4FA80F9A">
      <w:pPr>
        <w:spacing w:line="360" w:lineRule="auto"/>
        <w:ind w:firstLine="480"/>
        <w:rPr>
          <w:rFonts w:ascii="宋体" w:hAnsi="宋体" w:cs="宋体"/>
          <w:color w:val="auto"/>
          <w:highlight w:val="none"/>
        </w:rPr>
      </w:pPr>
      <w:r>
        <w:rPr>
          <w:rFonts w:hint="eastAsia" w:ascii="宋体" w:hAnsi="宋体" w:cs="宋体"/>
          <w:color w:val="auto"/>
          <w:highlight w:val="none"/>
        </w:rPr>
        <w:t>法定代表人（签字或盖章）：</w:t>
      </w:r>
    </w:p>
    <w:p w14:paraId="0E3D8017">
      <w:pPr>
        <w:spacing w:line="360" w:lineRule="auto"/>
        <w:ind w:firstLine="960"/>
        <w:rPr>
          <w:rFonts w:ascii="宋体" w:hAnsi="宋体" w:cs="宋体"/>
          <w:color w:val="auto"/>
          <w:szCs w:val="21"/>
          <w:highlight w:val="none"/>
        </w:rPr>
      </w:pPr>
      <w:r>
        <w:rPr>
          <w:rFonts w:hint="eastAsia" w:ascii="宋体" w:hAnsi="宋体" w:cs="宋体"/>
          <w:color w:val="auto"/>
          <w:szCs w:val="21"/>
          <w:highlight w:val="none"/>
        </w:rPr>
        <w:t>年    月    日</w:t>
      </w:r>
    </w:p>
    <w:p w14:paraId="410E5DC3">
      <w:pPr>
        <w:spacing w:line="360" w:lineRule="auto"/>
        <w:ind w:left="3" w:right="1" w:firstLine="5040"/>
        <w:rPr>
          <w:rFonts w:ascii="宋体" w:hAnsi="宋体"/>
          <w:color w:val="auto"/>
          <w:highlight w:val="none"/>
          <w:u w:val="single"/>
        </w:rPr>
      </w:pPr>
    </w:p>
    <w:p w14:paraId="5EFF8AFC">
      <w:pPr>
        <w:rPr>
          <w:rFonts w:ascii="宋体" w:hAnsi="宋体"/>
          <w:color w:val="auto"/>
          <w:highlight w:val="none"/>
        </w:rPr>
      </w:pPr>
    </w:p>
    <w:p w14:paraId="23B277CE">
      <w:pPr>
        <w:spacing w:line="600" w:lineRule="exact"/>
        <w:jc w:val="left"/>
        <w:rPr>
          <w:rFonts w:ascii="楷体_GB2312" w:hAnsi="楷体_GB2312" w:cs="楷体_GB2312"/>
          <w:color w:val="auto"/>
          <w:highlight w:val="none"/>
        </w:rPr>
      </w:pPr>
      <w:r>
        <w:rPr>
          <w:rFonts w:hint="eastAsia" w:ascii="宋体" w:hAnsi="宋体" w:cs="宋体"/>
          <w:color w:val="auto"/>
          <w:sz w:val="28"/>
          <w:szCs w:val="28"/>
          <w:highlight w:val="none"/>
        </w:rPr>
        <w:t>3.9技术标准和要求响应承诺</w:t>
      </w:r>
    </w:p>
    <w:p w14:paraId="347A812A">
      <w:pPr>
        <w:spacing w:line="600" w:lineRule="exact"/>
        <w:jc w:val="center"/>
        <w:rPr>
          <w:rFonts w:ascii="宋体" w:hAnsi="宋体" w:cs="宋体"/>
          <w:color w:val="auto"/>
          <w:sz w:val="44"/>
          <w:szCs w:val="44"/>
          <w:highlight w:val="none"/>
        </w:rPr>
      </w:pPr>
      <w:r>
        <w:rPr>
          <w:rFonts w:hint="eastAsia" w:ascii="宋体" w:hAnsi="宋体" w:cs="宋体"/>
          <w:color w:val="auto"/>
          <w:sz w:val="28"/>
          <w:szCs w:val="28"/>
          <w:highlight w:val="none"/>
        </w:rPr>
        <w:t>技术标准和要求响应承诺</w:t>
      </w:r>
    </w:p>
    <w:p w14:paraId="69897ED7">
      <w:pPr>
        <w:spacing w:line="500" w:lineRule="exact"/>
        <w:ind w:firstLine="560"/>
        <w:rPr>
          <w:rFonts w:ascii="宋体" w:hAnsi="宋体" w:cs="方正仿宋_GB2312"/>
          <w:color w:val="auto"/>
          <w:highlight w:val="none"/>
        </w:rPr>
      </w:pPr>
      <w:r>
        <w:rPr>
          <w:rFonts w:hint="eastAsia" w:ascii="宋体" w:hAnsi="宋体" w:cs="方正仿宋_GB2312"/>
          <w:color w:val="auto"/>
          <w:highlight w:val="none"/>
        </w:rPr>
        <w:t>一、我方已经仔细阅读并充分理解本竞争性磋商文件第四章技术标准和要求、第六章合同条款及格式的内容，并郑重承诺完全按照技术标准和要求和合同条款提供相应的服务，并自愿放弃对其中意义不明确内容的解释权。</w:t>
      </w:r>
    </w:p>
    <w:p w14:paraId="550D9646">
      <w:pPr>
        <w:spacing w:line="500" w:lineRule="exact"/>
        <w:ind w:firstLine="560"/>
        <w:rPr>
          <w:rFonts w:ascii="宋体" w:hAnsi="宋体" w:cs="方正仿宋_GB2312"/>
          <w:color w:val="auto"/>
          <w:highlight w:val="none"/>
        </w:rPr>
      </w:pPr>
      <w:r>
        <w:rPr>
          <w:rFonts w:hint="eastAsia" w:ascii="宋体" w:hAnsi="宋体" w:cs="方正仿宋_GB2312"/>
          <w:color w:val="auto"/>
          <w:highlight w:val="none"/>
        </w:rPr>
        <w:t>二、技术要求完全响应，详细内容以竞争性磋商文件要求和磋商变动情况为准。</w:t>
      </w:r>
    </w:p>
    <w:p w14:paraId="1E5D298E">
      <w:pPr>
        <w:spacing w:line="500" w:lineRule="exact"/>
        <w:ind w:firstLine="560"/>
        <w:rPr>
          <w:rFonts w:ascii="宋体" w:hAnsi="宋体" w:cs="方正仿宋_GB2312"/>
          <w:color w:val="auto"/>
          <w:highlight w:val="none"/>
        </w:rPr>
      </w:pPr>
      <w:r>
        <w:rPr>
          <w:rFonts w:hint="eastAsia" w:ascii="宋体" w:hAnsi="宋体" w:cs="方正仿宋_GB2312"/>
          <w:color w:val="auto"/>
          <w:highlight w:val="none"/>
        </w:rPr>
        <w:t>三、商务要求完全响应，详细内容以竞争性磋商文件要求和磋商变动情况为准。</w:t>
      </w:r>
    </w:p>
    <w:p w14:paraId="41217F0D">
      <w:pPr>
        <w:spacing w:line="500" w:lineRule="exact"/>
        <w:ind w:firstLine="560"/>
        <w:rPr>
          <w:rFonts w:ascii="宋体" w:hAnsi="宋体" w:cs="方正仿宋_GB2312"/>
          <w:color w:val="auto"/>
          <w:highlight w:val="none"/>
        </w:rPr>
      </w:pPr>
      <w:r>
        <w:rPr>
          <w:rFonts w:hint="eastAsia" w:ascii="宋体" w:hAnsi="宋体" w:cs="方正仿宋_GB2312"/>
          <w:color w:val="auto"/>
          <w:highlight w:val="none"/>
        </w:rPr>
        <w:t>四、合同草案条款完全响应，详细内容以竞争性磋商文件要求和磋商变动情况为准。</w:t>
      </w:r>
    </w:p>
    <w:p w14:paraId="193FA7F1">
      <w:pPr>
        <w:spacing w:before="163" w:line="560" w:lineRule="exact"/>
        <w:ind w:firstLine="3920"/>
        <w:rPr>
          <w:rFonts w:ascii="宋体" w:hAnsi="宋体" w:cs="方正仿宋_GB2312"/>
          <w:color w:val="auto"/>
          <w:highlight w:val="none"/>
        </w:rPr>
      </w:pPr>
      <w:r>
        <w:rPr>
          <w:rFonts w:hint="eastAsia" w:ascii="宋体" w:hAnsi="宋体" w:cs="方正仿宋_GB2312"/>
          <w:color w:val="auto"/>
          <w:highlight w:val="none"/>
        </w:rPr>
        <w:t>供应商名称(盖法人章)：</w:t>
      </w:r>
    </w:p>
    <w:p w14:paraId="3B892357">
      <w:pPr>
        <w:spacing w:before="163" w:line="560" w:lineRule="exact"/>
        <w:ind w:firstLine="3920"/>
        <w:rPr>
          <w:rFonts w:ascii="宋体" w:hAnsi="宋体" w:cs="方正仿宋_GB2312"/>
          <w:color w:val="auto"/>
          <w:highlight w:val="none"/>
        </w:rPr>
      </w:pPr>
      <w:r>
        <w:rPr>
          <w:rFonts w:hint="eastAsia" w:ascii="宋体" w:hAnsi="宋体" w:cs="方正仿宋_GB2312"/>
          <w:color w:val="auto"/>
          <w:highlight w:val="none"/>
        </w:rPr>
        <w:t>法定代表人 (签字或</w:t>
      </w:r>
      <w:r>
        <w:rPr>
          <w:rFonts w:hint="eastAsia" w:ascii="宋体" w:hAnsi="宋体" w:cs="方正仿宋_GB2312"/>
          <w:color w:val="auto"/>
          <w:highlight w:val="none"/>
          <w:lang w:val="en-US" w:eastAsia="zh-CN"/>
        </w:rPr>
        <w:t>盖</w:t>
      </w:r>
      <w:r>
        <w:rPr>
          <w:rFonts w:hint="eastAsia" w:ascii="宋体" w:hAnsi="宋体" w:cs="方正仿宋_GB2312"/>
          <w:color w:val="auto"/>
          <w:highlight w:val="none"/>
        </w:rPr>
        <w:t>章)：</w:t>
      </w:r>
    </w:p>
    <w:p w14:paraId="5E67F30D">
      <w:pPr>
        <w:spacing w:before="163" w:line="560" w:lineRule="exact"/>
        <w:ind w:firstLine="3920"/>
        <w:rPr>
          <w:rFonts w:ascii="宋体" w:hAnsi="宋体" w:cs="方正仿宋_GB2312"/>
          <w:color w:val="auto"/>
          <w:highlight w:val="none"/>
        </w:rPr>
      </w:pPr>
      <w:r>
        <w:rPr>
          <w:rFonts w:hint="eastAsia" w:ascii="宋体" w:hAnsi="宋体" w:cs="方正仿宋_GB2312"/>
          <w:color w:val="auto"/>
          <w:highlight w:val="none"/>
        </w:rPr>
        <w:t>日期：   年  月   日</w:t>
      </w:r>
    </w:p>
    <w:p w14:paraId="148ACFC0">
      <w:pPr>
        <w:spacing w:before="163" w:line="560" w:lineRule="exact"/>
        <w:ind w:firstLine="3920"/>
        <w:rPr>
          <w:rFonts w:ascii="宋体" w:hAnsi="宋体" w:cs="宋体"/>
          <w:color w:val="auto"/>
          <w:szCs w:val="21"/>
          <w:highlight w:val="none"/>
        </w:rPr>
      </w:pPr>
    </w:p>
    <w:p w14:paraId="4AF164EA">
      <w:pPr>
        <w:spacing w:before="163" w:line="560" w:lineRule="exact"/>
        <w:ind w:firstLine="3920"/>
        <w:rPr>
          <w:rFonts w:ascii="宋体" w:hAnsi="宋体" w:cs="宋体"/>
          <w:color w:val="auto"/>
          <w:sz w:val="28"/>
          <w:szCs w:val="28"/>
          <w:highlight w:val="none"/>
        </w:rPr>
      </w:pPr>
    </w:p>
    <w:p w14:paraId="32FAD32F">
      <w:pPr>
        <w:spacing w:line="500" w:lineRule="exact"/>
        <w:jc w:val="left"/>
        <w:rPr>
          <w:rFonts w:ascii="宋体" w:hAnsi="宋体" w:cs="宋体"/>
          <w:color w:val="auto"/>
          <w:highlight w:val="none"/>
        </w:rPr>
      </w:pPr>
      <w:r>
        <w:rPr>
          <w:rFonts w:hint="eastAsia" w:ascii="宋体" w:hAnsi="宋体" w:cs="宋体"/>
          <w:color w:val="auto"/>
          <w:sz w:val="28"/>
          <w:szCs w:val="28"/>
          <w:highlight w:val="none"/>
        </w:rPr>
        <w:t>3.10企业综合实力证明材料</w:t>
      </w:r>
    </w:p>
    <w:p w14:paraId="7DC6E177">
      <w:pPr>
        <w:pStyle w:val="294"/>
        <w:rPr>
          <w:color w:val="auto"/>
          <w:highlight w:val="none"/>
        </w:rPr>
      </w:pPr>
    </w:p>
    <w:p w14:paraId="052166E7">
      <w:pPr>
        <w:pStyle w:val="294"/>
        <w:rPr>
          <w:color w:val="auto"/>
          <w:highlight w:val="none"/>
        </w:rPr>
      </w:pPr>
    </w:p>
    <w:p w14:paraId="4FFDDC2C">
      <w:pPr>
        <w:pStyle w:val="294"/>
        <w:rPr>
          <w:color w:val="auto"/>
          <w:highlight w:val="none"/>
        </w:rPr>
      </w:pPr>
    </w:p>
    <w:p w14:paraId="12053C9D">
      <w:pPr>
        <w:pStyle w:val="294"/>
        <w:rPr>
          <w:color w:val="auto"/>
          <w:highlight w:val="none"/>
        </w:rPr>
      </w:pPr>
    </w:p>
    <w:p w14:paraId="3B4BA921">
      <w:pPr>
        <w:spacing w:line="500" w:lineRule="exact"/>
        <w:jc w:val="left"/>
        <w:rPr>
          <w:rFonts w:ascii="宋体" w:hAnsi="宋体" w:cs="宋体"/>
          <w:color w:val="auto"/>
          <w:sz w:val="28"/>
          <w:szCs w:val="28"/>
          <w:highlight w:val="none"/>
        </w:rPr>
      </w:pPr>
      <w:r>
        <w:rPr>
          <w:rFonts w:hint="eastAsia" w:ascii="宋体" w:hAnsi="宋体" w:cs="宋体"/>
          <w:color w:val="auto"/>
          <w:sz w:val="28"/>
          <w:szCs w:val="28"/>
          <w:highlight w:val="none"/>
        </w:rPr>
        <w:t>3.11供应商认为应列入响应文件的其他材料</w:t>
      </w:r>
      <w:bookmarkEnd w:id="487"/>
      <w:bookmarkEnd w:id="488"/>
    </w:p>
    <w:p w14:paraId="01167455">
      <w:pPr>
        <w:pStyle w:val="283"/>
        <w:rPr>
          <w:color w:val="auto"/>
          <w:highlight w:val="none"/>
        </w:rPr>
      </w:pPr>
    </w:p>
    <w:p w14:paraId="4175B339">
      <w:pPr>
        <w:pStyle w:val="287"/>
        <w:spacing w:before="0" w:after="0" w:line="460" w:lineRule="exact"/>
        <w:jc w:val="center"/>
        <w:rPr>
          <w:rStyle w:val="254"/>
          <w:rFonts w:eastAsia="宋体"/>
          <w:b/>
          <w:color w:val="auto"/>
          <w:sz w:val="32"/>
          <w:szCs w:val="32"/>
          <w:highlight w:val="none"/>
        </w:rPr>
        <w:sectPr>
          <w:headerReference r:id="rId7" w:type="default"/>
          <w:footerReference r:id="rId8" w:type="default"/>
          <w:pgSz w:w="11906" w:h="16838"/>
          <w:pgMar w:top="1440" w:right="1080" w:bottom="1440" w:left="1080" w:header="851" w:footer="992" w:gutter="0"/>
          <w:cols w:space="1701" w:num="1"/>
          <w:docGrid w:linePitch="360" w:charSpace="0"/>
        </w:sectPr>
      </w:pPr>
    </w:p>
    <w:p w14:paraId="352E7B2D">
      <w:pPr>
        <w:pStyle w:val="287"/>
        <w:spacing w:before="0" w:after="0" w:line="460" w:lineRule="exact"/>
        <w:jc w:val="center"/>
        <w:rPr>
          <w:rStyle w:val="254"/>
          <w:rFonts w:eastAsia="宋体"/>
          <w:b w:val="0"/>
          <w:color w:val="auto"/>
          <w:sz w:val="32"/>
          <w:szCs w:val="32"/>
          <w:highlight w:val="none"/>
        </w:rPr>
      </w:pPr>
      <w:bookmarkStart w:id="500" w:name="_Toc12007"/>
      <w:r>
        <w:rPr>
          <w:rStyle w:val="254"/>
          <w:rFonts w:hint="eastAsia" w:eastAsia="宋体"/>
          <w:b w:val="0"/>
          <w:color w:val="auto"/>
          <w:sz w:val="32"/>
          <w:szCs w:val="32"/>
          <w:highlight w:val="none"/>
        </w:rPr>
        <w:t>第六章  合同条款及格式</w:t>
      </w:r>
      <w:bookmarkEnd w:id="500"/>
    </w:p>
    <w:p w14:paraId="23818A24">
      <w:pPr>
        <w:pStyle w:val="17"/>
        <w:rPr>
          <w:rFonts w:eastAsia="仿宋_GB2312"/>
          <w:bCs/>
          <w:color w:val="auto"/>
          <w:sz w:val="36"/>
          <w:szCs w:val="36"/>
          <w:highlight w:val="none"/>
        </w:rPr>
      </w:pPr>
    </w:p>
    <w:p w14:paraId="13A107B8">
      <w:pPr>
        <w:pStyle w:val="269"/>
        <w:jc w:val="center"/>
        <w:rPr>
          <w:rFonts w:eastAsia="华文中宋"/>
          <w:b/>
          <w:color w:val="auto"/>
          <w:sz w:val="52"/>
          <w:szCs w:val="52"/>
          <w:highlight w:val="none"/>
        </w:rPr>
      </w:pPr>
    </w:p>
    <w:p w14:paraId="41925C79">
      <w:pPr>
        <w:pStyle w:val="269"/>
        <w:jc w:val="center"/>
        <w:rPr>
          <w:rFonts w:eastAsia="华文中宋"/>
          <w:b/>
          <w:color w:val="auto"/>
          <w:sz w:val="52"/>
          <w:szCs w:val="52"/>
          <w:highlight w:val="none"/>
        </w:rPr>
      </w:pPr>
    </w:p>
    <w:p w14:paraId="0C953070">
      <w:pPr>
        <w:pStyle w:val="269"/>
        <w:jc w:val="center"/>
        <w:rPr>
          <w:rFonts w:eastAsia="华文中宋"/>
          <w:b/>
          <w:color w:val="auto"/>
          <w:sz w:val="52"/>
          <w:szCs w:val="52"/>
          <w:highlight w:val="none"/>
        </w:rPr>
      </w:pPr>
    </w:p>
    <w:p w14:paraId="5D408916">
      <w:pPr>
        <w:pStyle w:val="269"/>
        <w:jc w:val="center"/>
        <w:rPr>
          <w:rFonts w:eastAsia="华文中宋"/>
          <w:b/>
          <w:color w:val="auto"/>
          <w:sz w:val="52"/>
          <w:szCs w:val="52"/>
          <w:highlight w:val="none"/>
        </w:rPr>
      </w:pPr>
    </w:p>
    <w:p w14:paraId="1831C623">
      <w:pPr>
        <w:pStyle w:val="269"/>
        <w:jc w:val="center"/>
        <w:rPr>
          <w:rFonts w:eastAsia="华文中宋"/>
          <w:b/>
          <w:color w:val="auto"/>
          <w:sz w:val="52"/>
          <w:szCs w:val="52"/>
          <w:highlight w:val="none"/>
        </w:rPr>
      </w:pPr>
      <w:r>
        <w:rPr>
          <w:rFonts w:eastAsia="华文中宋"/>
          <w:b/>
          <w:color w:val="auto"/>
          <w:sz w:val="72"/>
          <w:szCs w:val="52"/>
          <w:highlight w:val="none"/>
        </w:rPr>
        <w:t>建设工程施工合同</w:t>
      </w:r>
      <w:r>
        <w:rPr>
          <w:rFonts w:eastAsia="华文中宋"/>
          <w:b/>
          <w:color w:val="auto"/>
          <w:sz w:val="52"/>
          <w:szCs w:val="52"/>
          <w:highlight w:val="none"/>
        </w:rPr>
        <w:br w:type="textWrapping"/>
      </w:r>
      <w:r>
        <w:rPr>
          <w:rFonts w:eastAsia="华文中宋"/>
          <w:b/>
          <w:color w:val="auto"/>
          <w:sz w:val="52"/>
          <w:szCs w:val="52"/>
          <w:highlight w:val="none"/>
        </w:rPr>
        <w:t>（示范文本）</w:t>
      </w:r>
    </w:p>
    <w:p w14:paraId="0DD0F0E9">
      <w:pPr>
        <w:pStyle w:val="269"/>
        <w:jc w:val="center"/>
        <w:rPr>
          <w:rFonts w:eastAsia="仿宋_GB2312"/>
          <w:bCs/>
          <w:color w:val="auto"/>
          <w:sz w:val="32"/>
          <w:szCs w:val="32"/>
          <w:highlight w:val="none"/>
        </w:rPr>
      </w:pPr>
      <w:r>
        <w:rPr>
          <w:rFonts w:eastAsia="仿宋_GB2312"/>
          <w:bCs/>
          <w:color w:val="auto"/>
          <w:sz w:val="32"/>
          <w:szCs w:val="32"/>
          <w:highlight w:val="none"/>
        </w:rPr>
        <w:t>（GF—2017—</w:t>
      </w:r>
      <w:r>
        <w:rPr>
          <w:rFonts w:hint="eastAsia" w:eastAsia="仿宋_GB2312"/>
          <w:bCs/>
          <w:color w:val="auto"/>
          <w:sz w:val="32"/>
          <w:szCs w:val="32"/>
          <w:highlight w:val="none"/>
        </w:rPr>
        <w:t>0201）</w:t>
      </w:r>
    </w:p>
    <w:p w14:paraId="133CF424">
      <w:pPr>
        <w:pStyle w:val="269"/>
        <w:jc w:val="center"/>
        <w:rPr>
          <w:rFonts w:eastAsia="华文中宋"/>
          <w:b/>
          <w:color w:val="auto"/>
          <w:sz w:val="52"/>
          <w:szCs w:val="52"/>
          <w:highlight w:val="none"/>
        </w:rPr>
      </w:pPr>
    </w:p>
    <w:p w14:paraId="367BA2CD">
      <w:pPr>
        <w:pStyle w:val="269"/>
        <w:jc w:val="center"/>
        <w:rPr>
          <w:rFonts w:eastAsia="黑体"/>
          <w:b/>
          <w:color w:val="auto"/>
          <w:sz w:val="72"/>
          <w:szCs w:val="72"/>
          <w:highlight w:val="none"/>
        </w:rPr>
      </w:pPr>
    </w:p>
    <w:p w14:paraId="51D48858">
      <w:pPr>
        <w:pStyle w:val="269"/>
        <w:jc w:val="center"/>
        <w:rPr>
          <w:rFonts w:eastAsia="楷体_GB2312"/>
          <w:b/>
          <w:color w:val="auto"/>
          <w:sz w:val="72"/>
          <w:szCs w:val="72"/>
          <w:highlight w:val="none"/>
        </w:rPr>
      </w:pPr>
    </w:p>
    <w:p w14:paraId="413DE5D4">
      <w:pPr>
        <w:pStyle w:val="269"/>
        <w:jc w:val="center"/>
        <w:rPr>
          <w:rFonts w:eastAsia="黑体"/>
          <w:b/>
          <w:color w:val="auto"/>
          <w:sz w:val="52"/>
          <w:szCs w:val="52"/>
          <w:highlight w:val="none"/>
        </w:rPr>
      </w:pPr>
    </w:p>
    <w:p w14:paraId="46672893">
      <w:pPr>
        <w:pStyle w:val="269"/>
        <w:rPr>
          <w:b/>
          <w:color w:val="auto"/>
          <w:sz w:val="28"/>
          <w:szCs w:val="28"/>
          <w:highlight w:val="none"/>
        </w:rPr>
      </w:pPr>
    </w:p>
    <w:p w14:paraId="511EE2B7">
      <w:pPr>
        <w:pStyle w:val="269"/>
        <w:rPr>
          <w:b/>
          <w:color w:val="auto"/>
          <w:sz w:val="28"/>
          <w:szCs w:val="28"/>
          <w:highlight w:val="none"/>
        </w:rPr>
      </w:pPr>
    </w:p>
    <w:p w14:paraId="13DD985C">
      <w:pPr>
        <w:pStyle w:val="269"/>
        <w:rPr>
          <w:b/>
          <w:color w:val="auto"/>
          <w:sz w:val="28"/>
          <w:szCs w:val="28"/>
          <w:highlight w:val="none"/>
        </w:rPr>
      </w:pPr>
    </w:p>
    <w:p w14:paraId="47127731">
      <w:pPr>
        <w:pStyle w:val="4"/>
        <w:jc w:val="center"/>
        <w:rPr>
          <w:rFonts w:ascii="宋体" w:hAnsi="宋体" w:eastAsia="宋体"/>
          <w:b/>
          <w:color w:val="auto"/>
          <w:sz w:val="28"/>
          <w:szCs w:val="28"/>
          <w:highlight w:val="none"/>
        </w:rPr>
      </w:pPr>
      <w:r>
        <w:rPr>
          <w:color w:val="auto"/>
          <w:highlight w:val="none"/>
        </w:rPr>
        <w:br w:type="page" w:clear="all"/>
      </w:r>
      <w:bookmarkStart w:id="501" w:name="_Toc156835708"/>
      <w:bookmarkStart w:id="502" w:name="_Toc135042822"/>
      <w:bookmarkStart w:id="503" w:name="_Toc498006744"/>
      <w:r>
        <w:rPr>
          <w:rFonts w:hint="eastAsia" w:ascii="宋体" w:hAnsi="宋体" w:eastAsia="宋体"/>
          <w:color w:val="auto"/>
          <w:sz w:val="28"/>
          <w:szCs w:val="28"/>
          <w:highlight w:val="none"/>
        </w:rPr>
        <w:t>第一部分 合同协议书</w:t>
      </w:r>
      <w:bookmarkEnd w:id="501"/>
      <w:bookmarkEnd w:id="502"/>
      <w:bookmarkEnd w:id="503"/>
    </w:p>
    <w:p w14:paraId="0A28EF33">
      <w:pPr>
        <w:pageBreakBefore w:val="0"/>
        <w:kinsoku/>
        <w:wordWrap/>
        <w:overflowPunct/>
        <w:topLinePunct w:val="0"/>
        <w:autoSpaceDE/>
        <w:autoSpaceDN/>
        <w:bidi w:val="0"/>
        <w:adjustRightInd/>
        <w:snapToGrid w:val="0"/>
        <w:spacing w:line="312" w:lineRule="auto"/>
        <w:textAlignment w:val="auto"/>
        <w:rPr>
          <w:rFonts w:ascii="宋体" w:hAnsi="宋体"/>
          <w:bCs/>
          <w:color w:val="auto"/>
          <w:sz w:val="21"/>
          <w:szCs w:val="21"/>
          <w:highlight w:val="none"/>
          <w:u w:val="single"/>
        </w:rPr>
      </w:pPr>
      <w:r>
        <w:rPr>
          <w:rFonts w:hint="eastAsia" w:ascii="宋体" w:hAnsi="宋体"/>
          <w:bCs/>
          <w:color w:val="auto"/>
          <w:sz w:val="21"/>
          <w:szCs w:val="21"/>
          <w:highlight w:val="none"/>
        </w:rPr>
        <w:t>发包方（全称）：</w:t>
      </w:r>
    </w:p>
    <w:p w14:paraId="0F1AF4A4">
      <w:pPr>
        <w:pageBreakBefore w:val="0"/>
        <w:kinsoku/>
        <w:wordWrap/>
        <w:overflowPunct/>
        <w:topLinePunct w:val="0"/>
        <w:autoSpaceDE/>
        <w:autoSpaceDN/>
        <w:bidi w:val="0"/>
        <w:adjustRightInd/>
        <w:snapToGrid w:val="0"/>
        <w:spacing w:line="312" w:lineRule="auto"/>
        <w:textAlignment w:val="auto"/>
        <w:rPr>
          <w:rFonts w:ascii="宋体" w:hAnsi="宋体"/>
          <w:bCs/>
          <w:color w:val="auto"/>
          <w:sz w:val="21"/>
          <w:szCs w:val="21"/>
          <w:highlight w:val="none"/>
          <w:u w:val="single"/>
        </w:rPr>
      </w:pPr>
      <w:r>
        <w:rPr>
          <w:rFonts w:hint="eastAsia" w:ascii="宋体" w:hAnsi="宋体"/>
          <w:bCs/>
          <w:color w:val="auto"/>
          <w:sz w:val="21"/>
          <w:szCs w:val="21"/>
          <w:highlight w:val="none"/>
        </w:rPr>
        <w:t>承包方（全称）：</w:t>
      </w:r>
    </w:p>
    <w:p w14:paraId="06B23914">
      <w:pPr>
        <w:pageBreakBefore w:val="0"/>
        <w:kinsoku/>
        <w:wordWrap/>
        <w:overflowPunct/>
        <w:topLinePunct w:val="0"/>
        <w:autoSpaceDE/>
        <w:autoSpaceDN/>
        <w:bidi w:val="0"/>
        <w:adjustRightInd/>
        <w:snapToGrid w:val="0"/>
        <w:spacing w:line="312" w:lineRule="auto"/>
        <w:textAlignment w:val="auto"/>
        <w:rPr>
          <w:rFonts w:ascii="宋体" w:hAnsi="宋体"/>
          <w:b/>
          <w:color w:val="auto"/>
          <w:sz w:val="21"/>
          <w:szCs w:val="21"/>
          <w:highlight w:val="none"/>
          <w:u w:val="single"/>
        </w:rPr>
      </w:pPr>
    </w:p>
    <w:p w14:paraId="2672668E">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根据《中华人民共和国民法典》《中华人民共和国建筑法》及有关法律规定，遵循平等、自愿、公平和诚实信用的原则，</w:t>
      </w:r>
      <w:r>
        <w:rPr>
          <w:rFonts w:hint="eastAsia" w:ascii="宋体" w:hAnsi="宋体"/>
          <w:color w:val="auto"/>
          <w:sz w:val="21"/>
          <w:szCs w:val="21"/>
          <w:highlight w:val="none"/>
          <w:lang w:val="en-US" w:eastAsia="zh-CN"/>
        </w:rPr>
        <w:t>双</w:t>
      </w:r>
      <w:r>
        <w:rPr>
          <w:rFonts w:hint="eastAsia" w:ascii="宋体" w:hAnsi="宋体"/>
          <w:color w:val="auto"/>
          <w:sz w:val="21"/>
          <w:szCs w:val="21"/>
          <w:highlight w:val="none"/>
        </w:rPr>
        <w:t>方就工程施工及有关事项协商一致，共同达成如下协议：</w:t>
      </w:r>
    </w:p>
    <w:p w14:paraId="715A52F9">
      <w:pPr>
        <w:pStyle w:val="5"/>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bookmarkStart w:id="504" w:name="_Toc351203481"/>
      <w:r>
        <w:rPr>
          <w:rFonts w:hint="eastAsia" w:ascii="宋体" w:hAnsi="宋体"/>
          <w:bCs w:val="0"/>
          <w:color w:val="auto"/>
          <w:sz w:val="21"/>
          <w:szCs w:val="21"/>
          <w:highlight w:val="none"/>
        </w:rPr>
        <w:t>一、工程概况</w:t>
      </w:r>
      <w:bookmarkEnd w:id="504"/>
    </w:p>
    <w:p w14:paraId="3C52AB2B">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u w:val="single"/>
        </w:rPr>
      </w:pPr>
      <w:r>
        <w:rPr>
          <w:rFonts w:ascii="宋体" w:hAnsi="宋体"/>
          <w:bCs/>
          <w:color w:val="auto"/>
          <w:sz w:val="21"/>
          <w:szCs w:val="21"/>
          <w:highlight w:val="none"/>
        </w:rPr>
        <w:t>1.</w:t>
      </w:r>
      <w:r>
        <w:rPr>
          <w:rFonts w:hint="eastAsia" w:ascii="宋体" w:hAnsi="宋体"/>
          <w:bCs/>
          <w:color w:val="auto"/>
          <w:sz w:val="21"/>
          <w:szCs w:val="21"/>
          <w:highlight w:val="none"/>
        </w:rPr>
        <w:t>工程名称</w:t>
      </w:r>
      <w:r>
        <w:rPr>
          <w:rFonts w:hint="eastAsia" w:ascii="宋体" w:hAnsi="宋体"/>
          <w:color w:val="auto"/>
          <w:sz w:val="21"/>
          <w:szCs w:val="21"/>
          <w:highlight w:val="none"/>
        </w:rPr>
        <w:t>：。</w:t>
      </w:r>
    </w:p>
    <w:p w14:paraId="5AB321BB">
      <w:pPr>
        <w:pageBreakBefore w:val="0"/>
        <w:kinsoku/>
        <w:wordWrap/>
        <w:overflowPunct/>
        <w:topLinePunct w:val="0"/>
        <w:autoSpaceDE/>
        <w:autoSpaceDN/>
        <w:bidi w:val="0"/>
        <w:adjustRightInd/>
        <w:snapToGrid w:val="0"/>
        <w:spacing w:line="312" w:lineRule="auto"/>
        <w:ind w:firstLine="420"/>
        <w:textAlignment w:val="auto"/>
        <w:rPr>
          <w:rFonts w:ascii="宋体" w:hAnsi="宋体"/>
          <w:bCs/>
          <w:color w:val="auto"/>
          <w:sz w:val="21"/>
          <w:szCs w:val="21"/>
          <w:highlight w:val="none"/>
        </w:rPr>
      </w:pPr>
      <w:r>
        <w:rPr>
          <w:rFonts w:ascii="宋体" w:hAnsi="宋体"/>
          <w:bCs/>
          <w:color w:val="auto"/>
          <w:sz w:val="21"/>
          <w:szCs w:val="21"/>
          <w:highlight w:val="none"/>
        </w:rPr>
        <w:t>2.</w:t>
      </w:r>
      <w:r>
        <w:rPr>
          <w:rFonts w:hint="eastAsia" w:ascii="宋体" w:hAnsi="宋体"/>
          <w:bCs/>
          <w:color w:val="auto"/>
          <w:sz w:val="21"/>
          <w:szCs w:val="21"/>
          <w:highlight w:val="none"/>
        </w:rPr>
        <w:t>工程地点：</w:t>
      </w:r>
      <w:r>
        <w:rPr>
          <w:rFonts w:hint="eastAsia" w:ascii="宋体" w:hAnsi="宋体"/>
          <w:color w:val="auto"/>
          <w:sz w:val="21"/>
          <w:szCs w:val="21"/>
          <w:highlight w:val="none"/>
        </w:rPr>
        <w:t>。</w:t>
      </w:r>
    </w:p>
    <w:p w14:paraId="6E4B2901">
      <w:pPr>
        <w:pageBreakBefore w:val="0"/>
        <w:kinsoku/>
        <w:wordWrap/>
        <w:overflowPunct/>
        <w:topLinePunct w:val="0"/>
        <w:autoSpaceDE/>
        <w:autoSpaceDN/>
        <w:bidi w:val="0"/>
        <w:adjustRightInd/>
        <w:snapToGrid w:val="0"/>
        <w:spacing w:line="312" w:lineRule="auto"/>
        <w:ind w:firstLine="411"/>
        <w:textAlignment w:val="auto"/>
        <w:rPr>
          <w:rFonts w:ascii="宋体" w:hAnsi="宋体"/>
          <w:bCs/>
          <w:color w:val="auto"/>
          <w:sz w:val="21"/>
          <w:szCs w:val="21"/>
          <w:highlight w:val="none"/>
        </w:rPr>
      </w:pPr>
      <w:r>
        <w:rPr>
          <w:rFonts w:ascii="宋体" w:hAnsi="宋体"/>
          <w:bCs/>
          <w:color w:val="auto"/>
          <w:sz w:val="21"/>
          <w:szCs w:val="21"/>
          <w:highlight w:val="none"/>
        </w:rPr>
        <w:t>3.</w:t>
      </w:r>
      <w:r>
        <w:rPr>
          <w:rFonts w:hint="eastAsia" w:ascii="宋体" w:hAnsi="宋体"/>
          <w:bCs/>
          <w:color w:val="auto"/>
          <w:sz w:val="21"/>
          <w:szCs w:val="21"/>
          <w:highlight w:val="none"/>
        </w:rPr>
        <w:t>工程立项批准文号：。</w:t>
      </w:r>
    </w:p>
    <w:p w14:paraId="2BF2A5C7">
      <w:pPr>
        <w:pageBreakBefore w:val="0"/>
        <w:kinsoku/>
        <w:wordWrap/>
        <w:overflowPunct/>
        <w:topLinePunct w:val="0"/>
        <w:autoSpaceDE/>
        <w:autoSpaceDN/>
        <w:bidi w:val="0"/>
        <w:adjustRightInd/>
        <w:snapToGrid w:val="0"/>
        <w:spacing w:line="312" w:lineRule="auto"/>
        <w:ind w:firstLine="411"/>
        <w:textAlignment w:val="auto"/>
        <w:rPr>
          <w:rFonts w:ascii="宋体" w:hAnsi="宋体"/>
          <w:bCs/>
          <w:color w:val="auto"/>
          <w:sz w:val="21"/>
          <w:szCs w:val="21"/>
          <w:highlight w:val="none"/>
        </w:rPr>
      </w:pPr>
      <w:r>
        <w:rPr>
          <w:rFonts w:ascii="宋体" w:hAnsi="宋体"/>
          <w:bCs/>
          <w:color w:val="auto"/>
          <w:sz w:val="21"/>
          <w:szCs w:val="21"/>
          <w:highlight w:val="none"/>
        </w:rPr>
        <w:t>4.</w:t>
      </w:r>
      <w:r>
        <w:rPr>
          <w:rFonts w:hint="eastAsia" w:ascii="宋体" w:hAnsi="宋体"/>
          <w:bCs/>
          <w:color w:val="auto"/>
          <w:sz w:val="21"/>
          <w:szCs w:val="21"/>
          <w:highlight w:val="none"/>
        </w:rPr>
        <w:t>资金来源：。</w:t>
      </w:r>
    </w:p>
    <w:p w14:paraId="5BAED332">
      <w:pPr>
        <w:pageBreakBefore w:val="0"/>
        <w:kinsoku/>
        <w:wordWrap/>
        <w:overflowPunct/>
        <w:topLinePunct w:val="0"/>
        <w:autoSpaceDE/>
        <w:autoSpaceDN/>
        <w:bidi w:val="0"/>
        <w:adjustRightInd/>
        <w:snapToGrid w:val="0"/>
        <w:spacing w:line="312" w:lineRule="auto"/>
        <w:ind w:firstLine="411"/>
        <w:textAlignment w:val="auto"/>
        <w:rPr>
          <w:rFonts w:ascii="宋体" w:hAnsi="宋体"/>
          <w:bCs/>
          <w:color w:val="auto"/>
          <w:sz w:val="21"/>
          <w:szCs w:val="21"/>
          <w:highlight w:val="none"/>
        </w:rPr>
      </w:pPr>
      <w:r>
        <w:rPr>
          <w:rFonts w:ascii="宋体" w:hAnsi="宋体"/>
          <w:bCs/>
          <w:color w:val="auto"/>
          <w:sz w:val="21"/>
          <w:szCs w:val="21"/>
          <w:highlight w:val="none"/>
        </w:rPr>
        <w:t>5.</w:t>
      </w:r>
      <w:r>
        <w:rPr>
          <w:rFonts w:hint="eastAsia" w:ascii="宋体" w:hAnsi="宋体"/>
          <w:bCs/>
          <w:color w:val="auto"/>
          <w:sz w:val="21"/>
          <w:szCs w:val="21"/>
          <w:highlight w:val="none"/>
        </w:rPr>
        <w:t>工程内容：。</w:t>
      </w:r>
    </w:p>
    <w:p w14:paraId="26DCEA07">
      <w:pPr>
        <w:pageBreakBefore w:val="0"/>
        <w:kinsoku/>
        <w:wordWrap/>
        <w:overflowPunct/>
        <w:topLinePunct w:val="0"/>
        <w:autoSpaceDE/>
        <w:autoSpaceDN/>
        <w:bidi w:val="0"/>
        <w:adjustRightInd/>
        <w:snapToGrid w:val="0"/>
        <w:spacing w:line="312" w:lineRule="auto"/>
        <w:ind w:firstLine="411"/>
        <w:textAlignment w:val="auto"/>
        <w:rPr>
          <w:rFonts w:ascii="宋体" w:hAnsi="宋体"/>
          <w:bCs/>
          <w:color w:val="auto"/>
          <w:sz w:val="21"/>
          <w:szCs w:val="21"/>
          <w:highlight w:val="none"/>
        </w:rPr>
      </w:pPr>
      <w:r>
        <w:rPr>
          <w:rFonts w:hint="eastAsia" w:ascii="宋体" w:hAnsi="宋体"/>
          <w:color w:val="auto"/>
          <w:sz w:val="21"/>
          <w:szCs w:val="21"/>
          <w:highlight w:val="none"/>
        </w:rPr>
        <w:t>群体工程应附《承包方承揽工程项目一览表》（附件</w:t>
      </w:r>
      <w:r>
        <w:rPr>
          <w:rFonts w:ascii="宋体" w:hAnsi="宋体"/>
          <w:color w:val="auto"/>
          <w:sz w:val="21"/>
          <w:szCs w:val="21"/>
          <w:highlight w:val="none"/>
        </w:rPr>
        <w:t>1</w:t>
      </w:r>
      <w:r>
        <w:rPr>
          <w:rFonts w:hint="eastAsia" w:ascii="宋体" w:hAnsi="宋体"/>
          <w:color w:val="auto"/>
          <w:sz w:val="21"/>
          <w:szCs w:val="21"/>
          <w:highlight w:val="none"/>
        </w:rPr>
        <w:t>）。</w:t>
      </w:r>
    </w:p>
    <w:p w14:paraId="3C57DFA3">
      <w:pPr>
        <w:pageBreakBefore w:val="0"/>
        <w:kinsoku/>
        <w:wordWrap/>
        <w:overflowPunct/>
        <w:topLinePunct w:val="0"/>
        <w:autoSpaceDE/>
        <w:autoSpaceDN/>
        <w:bidi w:val="0"/>
        <w:adjustRightInd/>
        <w:snapToGrid w:val="0"/>
        <w:spacing w:line="312" w:lineRule="auto"/>
        <w:ind w:firstLine="411"/>
        <w:textAlignment w:val="auto"/>
        <w:rPr>
          <w:rFonts w:ascii="宋体" w:hAnsi="宋体"/>
          <w:color w:val="auto"/>
          <w:sz w:val="21"/>
          <w:szCs w:val="21"/>
          <w:highlight w:val="none"/>
        </w:rPr>
      </w:pPr>
      <w:r>
        <w:rPr>
          <w:rFonts w:ascii="宋体" w:hAnsi="宋体"/>
          <w:bCs/>
          <w:color w:val="auto"/>
          <w:sz w:val="21"/>
          <w:szCs w:val="21"/>
          <w:highlight w:val="none"/>
        </w:rPr>
        <w:t>6.</w:t>
      </w:r>
      <w:r>
        <w:rPr>
          <w:rFonts w:hint="eastAsia" w:ascii="宋体" w:hAnsi="宋体"/>
          <w:bCs/>
          <w:color w:val="auto"/>
          <w:sz w:val="21"/>
          <w:szCs w:val="21"/>
          <w:highlight w:val="none"/>
        </w:rPr>
        <w:t>工程承包范围：</w:t>
      </w:r>
      <w:r>
        <w:rPr>
          <w:rFonts w:hint="eastAsia" w:ascii="宋体" w:hAnsi="宋体"/>
          <w:color w:val="auto"/>
          <w:sz w:val="21"/>
          <w:szCs w:val="21"/>
          <w:highlight w:val="none"/>
        </w:rPr>
        <w:t>。</w:t>
      </w:r>
    </w:p>
    <w:p w14:paraId="07974BED">
      <w:pPr>
        <w:pStyle w:val="5"/>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bookmarkStart w:id="505" w:name="_Toc351203482"/>
      <w:r>
        <w:rPr>
          <w:rFonts w:hint="eastAsia" w:ascii="宋体" w:hAnsi="宋体"/>
          <w:bCs w:val="0"/>
          <w:color w:val="auto"/>
          <w:sz w:val="21"/>
          <w:szCs w:val="21"/>
          <w:highlight w:val="none"/>
        </w:rPr>
        <w:t>二、合同工期</w:t>
      </w:r>
      <w:bookmarkEnd w:id="505"/>
    </w:p>
    <w:p w14:paraId="0EF817D2">
      <w:pPr>
        <w:pageBreakBefore w:val="0"/>
        <w:kinsoku/>
        <w:wordWrap/>
        <w:overflowPunct/>
        <w:topLinePunct w:val="0"/>
        <w:autoSpaceDE/>
        <w:autoSpaceDN/>
        <w:bidi w:val="0"/>
        <w:adjustRightInd/>
        <w:snapToGrid w:val="0"/>
        <w:spacing w:line="312" w:lineRule="auto"/>
        <w:ind w:firstLine="459"/>
        <w:textAlignment w:val="auto"/>
        <w:rPr>
          <w:rFonts w:ascii="宋体" w:hAnsi="宋体"/>
          <w:color w:val="auto"/>
          <w:sz w:val="21"/>
          <w:szCs w:val="21"/>
          <w:highlight w:val="none"/>
        </w:rPr>
      </w:pPr>
      <w:r>
        <w:rPr>
          <w:rFonts w:hint="eastAsia" w:ascii="宋体" w:hAnsi="宋体"/>
          <w:color w:val="auto"/>
          <w:sz w:val="21"/>
          <w:szCs w:val="21"/>
          <w:highlight w:val="none"/>
        </w:rPr>
        <w:t>计划开工日期：年月日。</w:t>
      </w:r>
    </w:p>
    <w:p w14:paraId="1D778CE0">
      <w:pPr>
        <w:pageBreakBefore w:val="0"/>
        <w:kinsoku/>
        <w:wordWrap/>
        <w:overflowPunct/>
        <w:topLinePunct w:val="0"/>
        <w:autoSpaceDE/>
        <w:autoSpaceDN/>
        <w:bidi w:val="0"/>
        <w:adjustRightInd/>
        <w:snapToGrid w:val="0"/>
        <w:spacing w:line="312" w:lineRule="auto"/>
        <w:ind w:firstLine="459"/>
        <w:textAlignment w:val="auto"/>
        <w:rPr>
          <w:rFonts w:ascii="宋体" w:hAnsi="宋体"/>
          <w:color w:val="auto"/>
          <w:sz w:val="21"/>
          <w:szCs w:val="21"/>
          <w:highlight w:val="none"/>
        </w:rPr>
      </w:pPr>
      <w:r>
        <w:rPr>
          <w:rFonts w:hint="eastAsia" w:ascii="宋体" w:hAnsi="宋体"/>
          <w:color w:val="auto"/>
          <w:sz w:val="21"/>
          <w:szCs w:val="21"/>
          <w:highlight w:val="none"/>
        </w:rPr>
        <w:t>计划竣工日期：年月日。</w:t>
      </w:r>
    </w:p>
    <w:p w14:paraId="0ABA8D93">
      <w:pPr>
        <w:pageBreakBefore w:val="0"/>
        <w:kinsoku/>
        <w:wordWrap/>
        <w:overflowPunct/>
        <w:topLinePunct w:val="0"/>
        <w:autoSpaceDE/>
        <w:autoSpaceDN/>
        <w:bidi w:val="0"/>
        <w:adjustRightInd/>
        <w:snapToGrid w:val="0"/>
        <w:spacing w:line="312" w:lineRule="auto"/>
        <w:ind w:firstLine="459"/>
        <w:textAlignment w:val="auto"/>
        <w:rPr>
          <w:rFonts w:ascii="宋体" w:hAnsi="宋体"/>
          <w:color w:val="auto"/>
          <w:sz w:val="21"/>
          <w:szCs w:val="21"/>
          <w:highlight w:val="none"/>
        </w:rPr>
      </w:pPr>
      <w:r>
        <w:rPr>
          <w:rFonts w:hint="eastAsia" w:ascii="宋体" w:hAnsi="宋体"/>
          <w:color w:val="auto"/>
          <w:sz w:val="21"/>
          <w:szCs w:val="21"/>
          <w:highlight w:val="none"/>
        </w:rPr>
        <w:t>工期总日历天数：天。工期总日历天数与根据前述计划开竣工日期计算的工期天数不一致的，以工期总日历天数为准。</w:t>
      </w:r>
    </w:p>
    <w:p w14:paraId="66C1411C">
      <w:pPr>
        <w:pStyle w:val="5"/>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bookmarkStart w:id="506" w:name="_Toc351203483"/>
      <w:r>
        <w:rPr>
          <w:rFonts w:hint="eastAsia" w:ascii="宋体" w:hAnsi="宋体"/>
          <w:bCs w:val="0"/>
          <w:color w:val="auto"/>
          <w:sz w:val="21"/>
          <w:szCs w:val="21"/>
          <w:highlight w:val="none"/>
        </w:rPr>
        <w:t>三、质量标准</w:t>
      </w:r>
      <w:bookmarkEnd w:id="506"/>
    </w:p>
    <w:p w14:paraId="5E166C4F">
      <w:pPr>
        <w:pageBreakBefore w:val="0"/>
        <w:kinsoku/>
        <w:wordWrap/>
        <w:overflowPunct/>
        <w:topLinePunct w:val="0"/>
        <w:autoSpaceDE/>
        <w:autoSpaceDN/>
        <w:bidi w:val="0"/>
        <w:adjustRightInd/>
        <w:snapToGrid w:val="0"/>
        <w:spacing w:line="312" w:lineRule="auto"/>
        <w:ind w:firstLine="459"/>
        <w:textAlignment w:val="auto"/>
        <w:rPr>
          <w:rFonts w:ascii="宋体" w:hAnsi="宋体"/>
          <w:color w:val="auto"/>
          <w:sz w:val="21"/>
          <w:szCs w:val="21"/>
          <w:highlight w:val="none"/>
        </w:rPr>
      </w:pPr>
      <w:r>
        <w:rPr>
          <w:rFonts w:hint="eastAsia" w:ascii="宋体" w:hAnsi="宋体"/>
          <w:color w:val="auto"/>
          <w:sz w:val="21"/>
          <w:szCs w:val="21"/>
          <w:highlight w:val="none"/>
        </w:rPr>
        <w:t>工程质量符合标准。</w:t>
      </w:r>
    </w:p>
    <w:p w14:paraId="6FC04DEA">
      <w:pPr>
        <w:pStyle w:val="5"/>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bookmarkStart w:id="507" w:name="_Toc351203484"/>
      <w:r>
        <w:rPr>
          <w:rFonts w:hint="eastAsia" w:ascii="宋体" w:hAnsi="宋体"/>
          <w:bCs w:val="0"/>
          <w:color w:val="auto"/>
          <w:sz w:val="21"/>
          <w:szCs w:val="21"/>
          <w:highlight w:val="none"/>
        </w:rPr>
        <w:t>四、签约合同价与合同价格形式</w:t>
      </w:r>
      <w:bookmarkEnd w:id="507"/>
      <w:r>
        <w:rPr>
          <w:rFonts w:ascii="宋体" w:hAnsi="宋体"/>
          <w:bCs w:val="0"/>
          <w:color w:val="auto"/>
          <w:sz w:val="21"/>
          <w:szCs w:val="21"/>
          <w:highlight w:val="none"/>
        </w:rPr>
        <w:tab/>
      </w:r>
    </w:p>
    <w:p w14:paraId="6AB09BB5">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签约合同价为：</w:t>
      </w:r>
    </w:p>
    <w:p w14:paraId="746F5D11">
      <w:pPr>
        <w:pageBreakBefore w:val="0"/>
        <w:kinsoku/>
        <w:wordWrap/>
        <w:overflowPunct/>
        <w:topLinePunct w:val="0"/>
        <w:autoSpaceDE/>
        <w:autoSpaceDN/>
        <w:bidi w:val="0"/>
        <w:adjustRightInd/>
        <w:snapToGrid w:val="0"/>
        <w:spacing w:line="312" w:lineRule="auto"/>
        <w:ind w:firstLine="525"/>
        <w:textAlignment w:val="auto"/>
        <w:rPr>
          <w:rFonts w:ascii="宋体" w:hAnsi="宋体"/>
          <w:color w:val="auto"/>
          <w:sz w:val="21"/>
          <w:szCs w:val="21"/>
          <w:highlight w:val="none"/>
        </w:rPr>
      </w:pPr>
      <w:r>
        <w:rPr>
          <w:rFonts w:hint="eastAsia" w:ascii="宋体" w:hAnsi="宋体"/>
          <w:color w:val="auto"/>
          <w:sz w:val="21"/>
          <w:szCs w:val="21"/>
          <w:highlight w:val="none"/>
        </w:rPr>
        <w:t>人民币（大写）</w:t>
      </w:r>
      <w:r>
        <w:rPr>
          <w:rFonts w:ascii="宋体" w:hAnsi="宋体"/>
          <w:color w:val="auto"/>
          <w:sz w:val="21"/>
          <w:szCs w:val="21"/>
          <w:highlight w:val="none"/>
        </w:rPr>
        <w:t>(¥</w:t>
      </w:r>
      <w:r>
        <w:rPr>
          <w:rFonts w:hint="eastAsia" w:ascii="宋体" w:hAnsi="宋体"/>
          <w:color w:val="auto"/>
          <w:sz w:val="21"/>
          <w:szCs w:val="21"/>
          <w:highlight w:val="none"/>
        </w:rPr>
        <w:t>元</w:t>
      </w:r>
      <w:r>
        <w:rPr>
          <w:rFonts w:ascii="宋体" w:hAnsi="宋体"/>
          <w:color w:val="auto"/>
          <w:sz w:val="21"/>
          <w:szCs w:val="21"/>
          <w:highlight w:val="none"/>
        </w:rPr>
        <w:t>)</w:t>
      </w:r>
      <w:r>
        <w:rPr>
          <w:rFonts w:hint="eastAsia" w:ascii="宋体" w:hAnsi="宋体"/>
          <w:color w:val="auto"/>
          <w:sz w:val="21"/>
          <w:szCs w:val="21"/>
          <w:highlight w:val="none"/>
        </w:rPr>
        <w:t>；</w:t>
      </w:r>
    </w:p>
    <w:p w14:paraId="2BE85B47">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其中：</w:t>
      </w:r>
    </w:p>
    <w:p w14:paraId="16526ED3">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1</w:t>
      </w:r>
      <w:r>
        <w:rPr>
          <w:rFonts w:hint="eastAsia" w:ascii="宋体" w:hAnsi="宋体"/>
          <w:color w:val="auto"/>
          <w:sz w:val="21"/>
          <w:szCs w:val="21"/>
          <w:highlight w:val="none"/>
        </w:rPr>
        <w:t>）安全文明施工费：</w:t>
      </w:r>
    </w:p>
    <w:p w14:paraId="29431607">
      <w:pPr>
        <w:pageBreakBefore w:val="0"/>
        <w:kinsoku/>
        <w:wordWrap/>
        <w:overflowPunct/>
        <w:topLinePunct w:val="0"/>
        <w:autoSpaceDE/>
        <w:autoSpaceDN/>
        <w:bidi w:val="0"/>
        <w:adjustRightInd/>
        <w:snapToGrid w:val="0"/>
        <w:spacing w:line="312" w:lineRule="auto"/>
        <w:ind w:firstLine="945"/>
        <w:textAlignment w:val="auto"/>
        <w:rPr>
          <w:rFonts w:ascii="宋体" w:hAnsi="宋体"/>
          <w:color w:val="auto"/>
          <w:sz w:val="21"/>
          <w:szCs w:val="21"/>
          <w:highlight w:val="none"/>
        </w:rPr>
      </w:pPr>
      <w:r>
        <w:rPr>
          <w:rFonts w:hint="eastAsia" w:ascii="宋体" w:hAnsi="宋体"/>
          <w:color w:val="auto"/>
          <w:sz w:val="21"/>
          <w:szCs w:val="21"/>
          <w:highlight w:val="none"/>
        </w:rPr>
        <w:t>人民币（大写）</w:t>
      </w:r>
      <w:r>
        <w:rPr>
          <w:rFonts w:ascii="宋体" w:hAnsi="宋体"/>
          <w:color w:val="auto"/>
          <w:sz w:val="21"/>
          <w:szCs w:val="21"/>
          <w:highlight w:val="none"/>
        </w:rPr>
        <w:t xml:space="preserve"> (¥</w:t>
      </w:r>
      <w:r>
        <w:rPr>
          <w:rFonts w:hint="eastAsia" w:ascii="宋体" w:hAnsi="宋体"/>
          <w:color w:val="auto"/>
          <w:sz w:val="21"/>
          <w:szCs w:val="21"/>
          <w:highlight w:val="none"/>
        </w:rPr>
        <w:t>元</w:t>
      </w:r>
      <w:r>
        <w:rPr>
          <w:rFonts w:ascii="宋体" w:hAnsi="宋体"/>
          <w:color w:val="auto"/>
          <w:sz w:val="21"/>
          <w:szCs w:val="21"/>
          <w:highlight w:val="none"/>
        </w:rPr>
        <w:t>)</w:t>
      </w:r>
      <w:r>
        <w:rPr>
          <w:rFonts w:hint="eastAsia" w:ascii="宋体" w:hAnsi="宋体"/>
          <w:color w:val="auto"/>
          <w:sz w:val="21"/>
          <w:szCs w:val="21"/>
          <w:highlight w:val="none"/>
        </w:rPr>
        <w:t>；</w:t>
      </w:r>
    </w:p>
    <w:p w14:paraId="2A419CB1">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2</w:t>
      </w:r>
      <w:r>
        <w:rPr>
          <w:rFonts w:hint="eastAsia" w:ascii="宋体" w:hAnsi="宋体"/>
          <w:color w:val="auto"/>
          <w:sz w:val="21"/>
          <w:szCs w:val="21"/>
          <w:highlight w:val="none"/>
        </w:rPr>
        <w:t>）材料和工程设备暂估价金额：</w:t>
      </w:r>
    </w:p>
    <w:p w14:paraId="493D42B7">
      <w:pPr>
        <w:pageBreakBefore w:val="0"/>
        <w:kinsoku/>
        <w:wordWrap/>
        <w:overflowPunct/>
        <w:topLinePunct w:val="0"/>
        <w:autoSpaceDE/>
        <w:autoSpaceDN/>
        <w:bidi w:val="0"/>
        <w:adjustRightInd/>
        <w:snapToGrid w:val="0"/>
        <w:spacing w:line="312" w:lineRule="auto"/>
        <w:ind w:firstLine="945"/>
        <w:textAlignment w:val="auto"/>
        <w:rPr>
          <w:rFonts w:ascii="宋体" w:hAnsi="宋体"/>
          <w:color w:val="auto"/>
          <w:sz w:val="21"/>
          <w:szCs w:val="21"/>
          <w:highlight w:val="none"/>
        </w:rPr>
      </w:pPr>
      <w:r>
        <w:rPr>
          <w:rFonts w:hint="eastAsia" w:ascii="宋体" w:hAnsi="宋体"/>
          <w:color w:val="auto"/>
          <w:sz w:val="21"/>
          <w:szCs w:val="21"/>
          <w:highlight w:val="none"/>
        </w:rPr>
        <w:t>人民币（大写）</w:t>
      </w:r>
      <w:r>
        <w:rPr>
          <w:rFonts w:ascii="宋体" w:hAnsi="宋体"/>
          <w:color w:val="auto"/>
          <w:sz w:val="21"/>
          <w:szCs w:val="21"/>
          <w:highlight w:val="none"/>
        </w:rPr>
        <w:t xml:space="preserve"> (¥</w:t>
      </w:r>
      <w:r>
        <w:rPr>
          <w:rFonts w:hint="eastAsia" w:ascii="宋体" w:hAnsi="宋体"/>
          <w:color w:val="auto"/>
          <w:sz w:val="21"/>
          <w:szCs w:val="21"/>
          <w:highlight w:val="none"/>
        </w:rPr>
        <w:t>元</w:t>
      </w:r>
      <w:r>
        <w:rPr>
          <w:rFonts w:ascii="宋体" w:hAnsi="宋体"/>
          <w:color w:val="auto"/>
          <w:sz w:val="21"/>
          <w:szCs w:val="21"/>
          <w:highlight w:val="none"/>
        </w:rPr>
        <w:t>)</w:t>
      </w:r>
      <w:r>
        <w:rPr>
          <w:rFonts w:hint="eastAsia" w:ascii="宋体" w:hAnsi="宋体"/>
          <w:color w:val="auto"/>
          <w:sz w:val="21"/>
          <w:szCs w:val="21"/>
          <w:highlight w:val="none"/>
        </w:rPr>
        <w:t>；</w:t>
      </w:r>
    </w:p>
    <w:p w14:paraId="63F864E8">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3</w:t>
      </w:r>
      <w:r>
        <w:rPr>
          <w:rFonts w:hint="eastAsia" w:ascii="宋体" w:hAnsi="宋体"/>
          <w:color w:val="auto"/>
          <w:sz w:val="21"/>
          <w:szCs w:val="21"/>
          <w:highlight w:val="none"/>
        </w:rPr>
        <w:t>）专业工程暂估价金额：</w:t>
      </w:r>
    </w:p>
    <w:p w14:paraId="7FE52584">
      <w:pPr>
        <w:pageBreakBefore w:val="0"/>
        <w:kinsoku/>
        <w:wordWrap/>
        <w:overflowPunct/>
        <w:topLinePunct w:val="0"/>
        <w:autoSpaceDE/>
        <w:autoSpaceDN/>
        <w:bidi w:val="0"/>
        <w:adjustRightInd/>
        <w:snapToGrid w:val="0"/>
        <w:spacing w:line="312" w:lineRule="auto"/>
        <w:ind w:firstLine="945"/>
        <w:textAlignment w:val="auto"/>
        <w:rPr>
          <w:rFonts w:ascii="宋体" w:hAnsi="宋体"/>
          <w:color w:val="auto"/>
          <w:sz w:val="21"/>
          <w:szCs w:val="21"/>
          <w:highlight w:val="none"/>
        </w:rPr>
      </w:pPr>
      <w:r>
        <w:rPr>
          <w:rFonts w:hint="eastAsia" w:ascii="宋体" w:hAnsi="宋体"/>
          <w:color w:val="auto"/>
          <w:sz w:val="21"/>
          <w:szCs w:val="21"/>
          <w:highlight w:val="none"/>
        </w:rPr>
        <w:t>人民币（大写）</w:t>
      </w:r>
      <w:r>
        <w:rPr>
          <w:rFonts w:ascii="宋体" w:hAnsi="宋体"/>
          <w:color w:val="auto"/>
          <w:sz w:val="21"/>
          <w:szCs w:val="21"/>
          <w:highlight w:val="none"/>
        </w:rPr>
        <w:t xml:space="preserve"> (¥</w:t>
      </w:r>
      <w:r>
        <w:rPr>
          <w:rFonts w:hint="eastAsia" w:ascii="宋体" w:hAnsi="宋体"/>
          <w:color w:val="auto"/>
          <w:sz w:val="21"/>
          <w:szCs w:val="21"/>
          <w:highlight w:val="none"/>
        </w:rPr>
        <w:t>元</w:t>
      </w:r>
      <w:r>
        <w:rPr>
          <w:rFonts w:ascii="宋体" w:hAnsi="宋体"/>
          <w:color w:val="auto"/>
          <w:sz w:val="21"/>
          <w:szCs w:val="21"/>
          <w:highlight w:val="none"/>
        </w:rPr>
        <w:t>)</w:t>
      </w:r>
      <w:r>
        <w:rPr>
          <w:rFonts w:hint="eastAsia" w:ascii="宋体" w:hAnsi="宋体"/>
          <w:color w:val="auto"/>
          <w:sz w:val="21"/>
          <w:szCs w:val="21"/>
          <w:highlight w:val="none"/>
        </w:rPr>
        <w:t>；</w:t>
      </w:r>
    </w:p>
    <w:p w14:paraId="3C8812F7">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4</w:t>
      </w:r>
      <w:r>
        <w:rPr>
          <w:rFonts w:hint="eastAsia" w:ascii="宋体" w:hAnsi="宋体"/>
          <w:color w:val="auto"/>
          <w:sz w:val="21"/>
          <w:szCs w:val="21"/>
          <w:highlight w:val="none"/>
        </w:rPr>
        <w:t>）暂列金额：</w:t>
      </w:r>
    </w:p>
    <w:p w14:paraId="3D29918F">
      <w:pPr>
        <w:pageBreakBefore w:val="0"/>
        <w:kinsoku/>
        <w:wordWrap/>
        <w:overflowPunct/>
        <w:topLinePunct w:val="0"/>
        <w:autoSpaceDE/>
        <w:autoSpaceDN/>
        <w:bidi w:val="0"/>
        <w:adjustRightInd/>
        <w:snapToGrid w:val="0"/>
        <w:spacing w:line="312" w:lineRule="auto"/>
        <w:ind w:firstLine="945"/>
        <w:textAlignment w:val="auto"/>
        <w:rPr>
          <w:rFonts w:ascii="宋体" w:hAnsi="宋体"/>
          <w:color w:val="auto"/>
          <w:sz w:val="21"/>
          <w:szCs w:val="21"/>
          <w:highlight w:val="none"/>
        </w:rPr>
      </w:pPr>
      <w:r>
        <w:rPr>
          <w:rFonts w:hint="eastAsia" w:ascii="宋体" w:hAnsi="宋体"/>
          <w:color w:val="auto"/>
          <w:sz w:val="21"/>
          <w:szCs w:val="21"/>
          <w:highlight w:val="none"/>
        </w:rPr>
        <w:t>人民币（大写）</w:t>
      </w:r>
      <w:r>
        <w:rPr>
          <w:rFonts w:ascii="宋体" w:hAnsi="宋体"/>
          <w:color w:val="auto"/>
          <w:sz w:val="21"/>
          <w:szCs w:val="21"/>
          <w:highlight w:val="none"/>
        </w:rPr>
        <w:t xml:space="preserve"> (¥</w:t>
      </w:r>
      <w:r>
        <w:rPr>
          <w:rFonts w:hint="eastAsia" w:ascii="宋体" w:hAnsi="宋体"/>
          <w:color w:val="auto"/>
          <w:sz w:val="21"/>
          <w:szCs w:val="21"/>
          <w:highlight w:val="none"/>
        </w:rPr>
        <w:t>元</w:t>
      </w:r>
      <w:r>
        <w:rPr>
          <w:rFonts w:ascii="宋体" w:hAnsi="宋体"/>
          <w:color w:val="auto"/>
          <w:sz w:val="21"/>
          <w:szCs w:val="21"/>
          <w:highlight w:val="none"/>
        </w:rPr>
        <w:t>)</w:t>
      </w:r>
      <w:r>
        <w:rPr>
          <w:rFonts w:hint="eastAsia" w:ascii="宋体" w:hAnsi="宋体"/>
          <w:color w:val="auto"/>
          <w:sz w:val="21"/>
          <w:szCs w:val="21"/>
          <w:highlight w:val="none"/>
        </w:rPr>
        <w:t>。</w:t>
      </w:r>
    </w:p>
    <w:p w14:paraId="05AECA31">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rPr>
        <w:t>合同价格形式：</w:t>
      </w:r>
      <w:r>
        <w:rPr>
          <w:rFonts w:hint="eastAsia" w:ascii="宋体" w:hAnsi="宋体"/>
          <w:color w:val="auto"/>
          <w:sz w:val="21"/>
          <w:szCs w:val="21"/>
          <w:highlight w:val="none"/>
          <w:u w:val="single"/>
        </w:rPr>
        <w:t>单价合同</w:t>
      </w:r>
      <w:r>
        <w:rPr>
          <w:rFonts w:hint="eastAsia" w:ascii="宋体" w:hAnsi="宋体"/>
          <w:color w:val="auto"/>
          <w:sz w:val="21"/>
          <w:szCs w:val="21"/>
          <w:highlight w:val="none"/>
        </w:rPr>
        <w:t>。</w:t>
      </w:r>
    </w:p>
    <w:p w14:paraId="1FDB033E">
      <w:pPr>
        <w:pStyle w:val="5"/>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bookmarkStart w:id="508" w:name="_Toc351203485"/>
      <w:r>
        <w:rPr>
          <w:rFonts w:hint="eastAsia" w:ascii="宋体" w:hAnsi="宋体"/>
          <w:bCs w:val="0"/>
          <w:color w:val="auto"/>
          <w:sz w:val="21"/>
          <w:szCs w:val="21"/>
          <w:highlight w:val="none"/>
        </w:rPr>
        <w:t>五、</w:t>
      </w:r>
      <w:bookmarkEnd w:id="508"/>
      <w:r>
        <w:rPr>
          <w:rFonts w:hint="eastAsia" w:ascii="宋体" w:hAnsi="宋体"/>
          <w:bCs w:val="0"/>
          <w:color w:val="auto"/>
          <w:sz w:val="21"/>
          <w:szCs w:val="21"/>
          <w:highlight w:val="none"/>
        </w:rPr>
        <w:t>项目经理</w:t>
      </w:r>
    </w:p>
    <w:p w14:paraId="5C585A80">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承包方项目经理：。</w:t>
      </w:r>
    </w:p>
    <w:p w14:paraId="6F63C0EC">
      <w:pPr>
        <w:pStyle w:val="5"/>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bookmarkStart w:id="509" w:name="_Toc351203486"/>
      <w:r>
        <w:rPr>
          <w:rFonts w:hint="eastAsia" w:ascii="宋体" w:hAnsi="宋体"/>
          <w:bCs w:val="0"/>
          <w:color w:val="auto"/>
          <w:sz w:val="21"/>
          <w:szCs w:val="21"/>
          <w:highlight w:val="none"/>
        </w:rPr>
        <w:t>六、合同文件构成</w:t>
      </w:r>
      <w:bookmarkEnd w:id="509"/>
    </w:p>
    <w:p w14:paraId="21605CAD">
      <w:pPr>
        <w:pageBreakBefore w:val="0"/>
        <w:kinsoku/>
        <w:wordWrap/>
        <w:overflowPunct/>
        <w:topLinePunct w:val="0"/>
        <w:autoSpaceDE/>
        <w:autoSpaceDN/>
        <w:bidi w:val="0"/>
        <w:adjustRightInd/>
        <w:snapToGrid w:val="0"/>
        <w:spacing w:line="312" w:lineRule="auto"/>
        <w:ind w:firstLine="420"/>
        <w:textAlignment w:val="auto"/>
        <w:rPr>
          <w:rFonts w:ascii="宋体" w:hAnsi="宋体"/>
          <w:bCs/>
          <w:color w:val="auto"/>
          <w:sz w:val="21"/>
          <w:szCs w:val="21"/>
          <w:highlight w:val="none"/>
        </w:rPr>
      </w:pPr>
      <w:r>
        <w:rPr>
          <w:rFonts w:hint="eastAsia" w:ascii="宋体" w:hAnsi="宋体"/>
          <w:bCs/>
          <w:color w:val="auto"/>
          <w:sz w:val="21"/>
          <w:szCs w:val="21"/>
          <w:highlight w:val="none"/>
        </w:rPr>
        <w:t>本协议书与下列文件一起构成合同文件：</w:t>
      </w:r>
    </w:p>
    <w:p w14:paraId="453A6E3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1</w:t>
      </w:r>
      <w:r>
        <w:rPr>
          <w:rFonts w:hint="eastAsia" w:ascii="宋体" w:hAnsi="宋体"/>
          <w:color w:val="auto"/>
          <w:sz w:val="21"/>
          <w:szCs w:val="21"/>
          <w:highlight w:val="none"/>
        </w:rPr>
        <w:t>）中标通知书（如果有）；</w:t>
      </w:r>
    </w:p>
    <w:p w14:paraId="594846C1">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2</w:t>
      </w:r>
      <w:r>
        <w:rPr>
          <w:rFonts w:hint="eastAsia" w:ascii="宋体" w:hAnsi="宋体"/>
          <w:color w:val="auto"/>
          <w:sz w:val="21"/>
          <w:szCs w:val="21"/>
          <w:highlight w:val="none"/>
        </w:rPr>
        <w:t>）投标函及投标函附录；</w:t>
      </w:r>
    </w:p>
    <w:p w14:paraId="7DB5ADEE">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3</w:t>
      </w:r>
      <w:r>
        <w:rPr>
          <w:rFonts w:hint="eastAsia" w:ascii="宋体" w:hAnsi="宋体"/>
          <w:color w:val="auto"/>
          <w:sz w:val="21"/>
          <w:szCs w:val="21"/>
          <w:highlight w:val="none"/>
        </w:rPr>
        <w:t>）专用合同条款及其附件；</w:t>
      </w:r>
    </w:p>
    <w:p w14:paraId="0BE99233">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4</w:t>
      </w:r>
      <w:r>
        <w:rPr>
          <w:rFonts w:hint="eastAsia" w:ascii="宋体" w:hAnsi="宋体"/>
          <w:color w:val="auto"/>
          <w:sz w:val="21"/>
          <w:szCs w:val="21"/>
          <w:highlight w:val="none"/>
        </w:rPr>
        <w:t>）通用合同条款；</w:t>
      </w:r>
    </w:p>
    <w:p w14:paraId="14E0C4B8">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5</w:t>
      </w:r>
      <w:r>
        <w:rPr>
          <w:rFonts w:hint="eastAsia" w:ascii="宋体" w:hAnsi="宋体"/>
          <w:color w:val="auto"/>
          <w:sz w:val="21"/>
          <w:szCs w:val="21"/>
          <w:highlight w:val="none"/>
        </w:rPr>
        <w:t>）技术标准和要求；</w:t>
      </w:r>
    </w:p>
    <w:p w14:paraId="09BFB516">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6</w:t>
      </w:r>
      <w:r>
        <w:rPr>
          <w:rFonts w:hint="eastAsia" w:ascii="宋体" w:hAnsi="宋体"/>
          <w:color w:val="auto"/>
          <w:sz w:val="21"/>
          <w:szCs w:val="21"/>
          <w:highlight w:val="none"/>
        </w:rPr>
        <w:t>）图纸；</w:t>
      </w:r>
    </w:p>
    <w:p w14:paraId="3E70C842">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7</w:t>
      </w:r>
      <w:r>
        <w:rPr>
          <w:rFonts w:hint="eastAsia" w:ascii="宋体" w:hAnsi="宋体"/>
          <w:color w:val="auto"/>
          <w:sz w:val="21"/>
          <w:szCs w:val="21"/>
          <w:highlight w:val="none"/>
        </w:rPr>
        <w:t>）已标价工程量清单或预算书；</w:t>
      </w:r>
    </w:p>
    <w:p w14:paraId="10F3F0F3">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8</w:t>
      </w:r>
      <w:r>
        <w:rPr>
          <w:rFonts w:hint="eastAsia" w:ascii="宋体" w:hAnsi="宋体"/>
          <w:color w:val="auto"/>
          <w:sz w:val="21"/>
          <w:szCs w:val="21"/>
          <w:highlight w:val="none"/>
        </w:rPr>
        <w:t>）其他合同文件。</w:t>
      </w:r>
    </w:p>
    <w:p w14:paraId="21D91BB2">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在合同订立及履行过程中形成的与合同有关的文件均构成合同文件组成部分。</w:t>
      </w:r>
    </w:p>
    <w:p w14:paraId="3359AA08">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546CEED5">
      <w:pPr>
        <w:pStyle w:val="5"/>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bookmarkStart w:id="510" w:name="_Toc351203487"/>
      <w:r>
        <w:rPr>
          <w:rFonts w:hint="eastAsia" w:ascii="宋体" w:hAnsi="宋体"/>
          <w:bCs w:val="0"/>
          <w:color w:val="auto"/>
          <w:sz w:val="21"/>
          <w:szCs w:val="21"/>
          <w:highlight w:val="none"/>
        </w:rPr>
        <w:t>七、承诺</w:t>
      </w:r>
      <w:bookmarkEnd w:id="510"/>
    </w:p>
    <w:p w14:paraId="55BA0A04">
      <w:pPr>
        <w:pageBreakBefore w:val="0"/>
        <w:kinsoku/>
        <w:wordWrap/>
        <w:overflowPunct/>
        <w:topLinePunct w:val="0"/>
        <w:autoSpaceDE/>
        <w:autoSpaceDN/>
        <w:bidi w:val="0"/>
        <w:adjustRightInd/>
        <w:snapToGrid w:val="0"/>
        <w:spacing w:line="312" w:lineRule="auto"/>
        <w:ind w:firstLine="420"/>
        <w:textAlignment w:val="auto"/>
        <w:rPr>
          <w:rFonts w:ascii="宋体" w:hAnsi="宋体"/>
          <w:bCs/>
          <w:color w:val="auto"/>
          <w:sz w:val="21"/>
          <w:szCs w:val="21"/>
          <w:highlight w:val="none"/>
        </w:rPr>
      </w:pPr>
      <w:r>
        <w:rPr>
          <w:rFonts w:ascii="宋体" w:hAnsi="宋体"/>
          <w:bCs/>
          <w:color w:val="auto"/>
          <w:sz w:val="21"/>
          <w:szCs w:val="21"/>
          <w:highlight w:val="none"/>
        </w:rPr>
        <w:t>1.</w:t>
      </w:r>
      <w:r>
        <w:rPr>
          <w:rFonts w:hint="eastAsia" w:ascii="宋体" w:hAnsi="宋体"/>
          <w:bCs/>
          <w:color w:val="auto"/>
          <w:sz w:val="21"/>
          <w:szCs w:val="21"/>
          <w:highlight w:val="none"/>
        </w:rPr>
        <w:t>发包方承诺按照法律规定履行项目审批手续、筹集工程建设资金并按照合同约定的期限和方式支付合同价款。</w:t>
      </w:r>
    </w:p>
    <w:p w14:paraId="6E178C69">
      <w:pPr>
        <w:pageBreakBefore w:val="0"/>
        <w:kinsoku/>
        <w:wordWrap/>
        <w:overflowPunct/>
        <w:topLinePunct w:val="0"/>
        <w:autoSpaceDE/>
        <w:autoSpaceDN/>
        <w:bidi w:val="0"/>
        <w:adjustRightInd/>
        <w:snapToGrid w:val="0"/>
        <w:spacing w:line="312" w:lineRule="auto"/>
        <w:ind w:firstLine="420"/>
        <w:textAlignment w:val="auto"/>
        <w:rPr>
          <w:rFonts w:ascii="宋体" w:hAnsi="宋体"/>
          <w:bCs/>
          <w:color w:val="auto"/>
          <w:sz w:val="21"/>
          <w:szCs w:val="21"/>
          <w:highlight w:val="none"/>
        </w:rPr>
      </w:pPr>
      <w:r>
        <w:rPr>
          <w:rFonts w:ascii="宋体" w:hAnsi="宋体"/>
          <w:bCs/>
          <w:color w:val="auto"/>
          <w:sz w:val="21"/>
          <w:szCs w:val="21"/>
          <w:highlight w:val="none"/>
        </w:rPr>
        <w:t>2.</w:t>
      </w:r>
      <w:r>
        <w:rPr>
          <w:rFonts w:hint="eastAsia" w:ascii="宋体" w:hAnsi="宋体"/>
          <w:bCs/>
          <w:color w:val="auto"/>
          <w:sz w:val="21"/>
          <w:szCs w:val="21"/>
          <w:highlight w:val="none"/>
        </w:rPr>
        <w:t>承包方承诺按照法律规定及合同约定组织完成工程施工，确保工程质量和安全，不进行转包及违法分包，并在缺陷责任期及保修期内承担相应的工程维修责任。</w:t>
      </w:r>
    </w:p>
    <w:p w14:paraId="4843785A">
      <w:pPr>
        <w:pageBreakBefore w:val="0"/>
        <w:kinsoku/>
        <w:wordWrap/>
        <w:overflowPunct/>
        <w:topLinePunct w:val="0"/>
        <w:autoSpaceDE/>
        <w:autoSpaceDN/>
        <w:bidi w:val="0"/>
        <w:adjustRightInd/>
        <w:snapToGrid w:val="0"/>
        <w:spacing w:line="312" w:lineRule="auto"/>
        <w:ind w:firstLine="420"/>
        <w:textAlignment w:val="auto"/>
        <w:rPr>
          <w:rFonts w:ascii="宋体" w:hAnsi="宋体"/>
          <w:bCs/>
          <w:color w:val="auto"/>
          <w:sz w:val="21"/>
          <w:szCs w:val="21"/>
          <w:highlight w:val="none"/>
        </w:rPr>
      </w:pPr>
      <w:r>
        <w:rPr>
          <w:rFonts w:ascii="宋体" w:hAnsi="宋体"/>
          <w:bCs/>
          <w:color w:val="auto"/>
          <w:sz w:val="21"/>
          <w:szCs w:val="21"/>
          <w:highlight w:val="none"/>
        </w:rPr>
        <w:t>3.</w:t>
      </w:r>
      <w:r>
        <w:rPr>
          <w:rFonts w:hint="eastAsia" w:ascii="宋体" w:hAnsi="宋体"/>
          <w:bCs/>
          <w:color w:val="auto"/>
          <w:sz w:val="21"/>
          <w:szCs w:val="21"/>
          <w:highlight w:val="none"/>
        </w:rPr>
        <w:t>发包方和承包方通过招投标形式签订合同的，双方理解并承诺不再就同一工程另行签订与合同实质性内容相背离的协议。</w:t>
      </w:r>
    </w:p>
    <w:p w14:paraId="7934D5A0">
      <w:pPr>
        <w:pStyle w:val="5"/>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bookmarkStart w:id="511" w:name="_Toc351203488"/>
      <w:r>
        <w:rPr>
          <w:rFonts w:hint="eastAsia" w:ascii="宋体" w:hAnsi="宋体"/>
          <w:bCs w:val="0"/>
          <w:color w:val="auto"/>
          <w:sz w:val="21"/>
          <w:szCs w:val="21"/>
          <w:highlight w:val="none"/>
        </w:rPr>
        <w:t>八、词语含义</w:t>
      </w:r>
      <w:bookmarkEnd w:id="511"/>
    </w:p>
    <w:p w14:paraId="1359BE6A">
      <w:pPr>
        <w:pageBreakBefore w:val="0"/>
        <w:kinsoku/>
        <w:wordWrap/>
        <w:overflowPunct/>
        <w:topLinePunct w:val="0"/>
        <w:autoSpaceDE/>
        <w:autoSpaceDN/>
        <w:bidi w:val="0"/>
        <w:adjustRightInd/>
        <w:snapToGrid w:val="0"/>
        <w:spacing w:line="312" w:lineRule="auto"/>
        <w:ind w:firstLine="420"/>
        <w:textAlignment w:val="auto"/>
        <w:rPr>
          <w:rFonts w:ascii="宋体" w:hAnsi="宋体"/>
          <w:bCs/>
          <w:color w:val="auto"/>
          <w:sz w:val="21"/>
          <w:szCs w:val="21"/>
          <w:highlight w:val="none"/>
        </w:rPr>
      </w:pPr>
      <w:r>
        <w:rPr>
          <w:rFonts w:hint="eastAsia" w:ascii="宋体" w:hAnsi="宋体"/>
          <w:bCs/>
          <w:color w:val="auto"/>
          <w:sz w:val="21"/>
          <w:szCs w:val="21"/>
          <w:highlight w:val="none"/>
        </w:rPr>
        <w:t>本协议书中词语含义与第二部分通用合同条款中赋予的含义相同。</w:t>
      </w:r>
    </w:p>
    <w:p w14:paraId="628E8629">
      <w:pPr>
        <w:pStyle w:val="5"/>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bookmarkStart w:id="512" w:name="_Toc351203489"/>
      <w:r>
        <w:rPr>
          <w:rFonts w:hint="eastAsia" w:ascii="宋体" w:hAnsi="宋体"/>
          <w:bCs w:val="0"/>
          <w:color w:val="auto"/>
          <w:sz w:val="21"/>
          <w:szCs w:val="21"/>
          <w:highlight w:val="none"/>
        </w:rPr>
        <w:t>九、签订时间</w:t>
      </w:r>
      <w:bookmarkEnd w:id="512"/>
    </w:p>
    <w:p w14:paraId="6B2A3EBB">
      <w:pPr>
        <w:pageBreakBefore w:val="0"/>
        <w:kinsoku/>
        <w:wordWrap/>
        <w:overflowPunct/>
        <w:topLinePunct w:val="0"/>
        <w:autoSpaceDE/>
        <w:autoSpaceDN/>
        <w:bidi w:val="0"/>
        <w:adjustRightInd/>
        <w:snapToGrid w:val="0"/>
        <w:spacing w:line="312" w:lineRule="auto"/>
        <w:ind w:firstLine="420"/>
        <w:textAlignment w:val="auto"/>
        <w:rPr>
          <w:rFonts w:ascii="宋体" w:hAnsi="宋体"/>
          <w:bCs/>
          <w:color w:val="auto"/>
          <w:sz w:val="21"/>
          <w:szCs w:val="21"/>
          <w:highlight w:val="none"/>
        </w:rPr>
      </w:pPr>
      <w:r>
        <w:rPr>
          <w:rFonts w:hint="eastAsia" w:ascii="宋体" w:hAnsi="宋体"/>
          <w:bCs/>
          <w:color w:val="auto"/>
          <w:sz w:val="21"/>
          <w:szCs w:val="21"/>
          <w:highlight w:val="none"/>
        </w:rPr>
        <w:t>本合同于年月日签订。</w:t>
      </w:r>
    </w:p>
    <w:p w14:paraId="35565239">
      <w:pPr>
        <w:pStyle w:val="5"/>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bookmarkStart w:id="513" w:name="_Toc351203490"/>
      <w:r>
        <w:rPr>
          <w:rFonts w:hint="eastAsia" w:ascii="宋体" w:hAnsi="宋体"/>
          <w:bCs w:val="0"/>
          <w:color w:val="auto"/>
          <w:sz w:val="21"/>
          <w:szCs w:val="21"/>
          <w:highlight w:val="none"/>
        </w:rPr>
        <w:t>十、签订地点</w:t>
      </w:r>
      <w:bookmarkEnd w:id="513"/>
    </w:p>
    <w:p w14:paraId="541ECC71">
      <w:pPr>
        <w:pageBreakBefore w:val="0"/>
        <w:kinsoku/>
        <w:wordWrap/>
        <w:overflowPunct/>
        <w:topLinePunct w:val="0"/>
        <w:autoSpaceDE/>
        <w:autoSpaceDN/>
        <w:bidi w:val="0"/>
        <w:adjustRightInd/>
        <w:snapToGrid w:val="0"/>
        <w:spacing w:line="312" w:lineRule="auto"/>
        <w:ind w:firstLine="420"/>
        <w:textAlignment w:val="auto"/>
        <w:rPr>
          <w:rFonts w:ascii="宋体" w:hAnsi="宋体"/>
          <w:bCs/>
          <w:color w:val="auto"/>
          <w:sz w:val="21"/>
          <w:szCs w:val="21"/>
          <w:highlight w:val="none"/>
        </w:rPr>
      </w:pPr>
      <w:r>
        <w:rPr>
          <w:rFonts w:hint="eastAsia" w:ascii="宋体" w:hAnsi="宋体"/>
          <w:bCs/>
          <w:color w:val="auto"/>
          <w:sz w:val="21"/>
          <w:szCs w:val="21"/>
          <w:highlight w:val="none"/>
        </w:rPr>
        <w:t>本合同在签订。</w:t>
      </w:r>
    </w:p>
    <w:p w14:paraId="469AAD12">
      <w:pPr>
        <w:pStyle w:val="5"/>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bookmarkStart w:id="514" w:name="_Toc351203491"/>
      <w:r>
        <w:rPr>
          <w:rFonts w:hint="eastAsia" w:ascii="宋体" w:hAnsi="宋体"/>
          <w:bCs w:val="0"/>
          <w:color w:val="auto"/>
          <w:sz w:val="21"/>
          <w:szCs w:val="21"/>
          <w:highlight w:val="none"/>
        </w:rPr>
        <w:t>十一、补充协议</w:t>
      </w:r>
      <w:bookmarkEnd w:id="514"/>
    </w:p>
    <w:p w14:paraId="606BB92D">
      <w:pPr>
        <w:pageBreakBefore w:val="0"/>
        <w:kinsoku/>
        <w:wordWrap/>
        <w:overflowPunct/>
        <w:topLinePunct w:val="0"/>
        <w:autoSpaceDE/>
        <w:autoSpaceDN/>
        <w:bidi w:val="0"/>
        <w:adjustRightInd/>
        <w:snapToGrid w:val="0"/>
        <w:spacing w:line="312" w:lineRule="auto"/>
        <w:ind w:firstLine="420"/>
        <w:textAlignment w:val="auto"/>
        <w:rPr>
          <w:rFonts w:ascii="宋体" w:hAnsi="宋体"/>
          <w:b/>
          <w:bCs/>
          <w:color w:val="auto"/>
          <w:sz w:val="21"/>
          <w:szCs w:val="21"/>
          <w:highlight w:val="none"/>
        </w:rPr>
      </w:pPr>
      <w:r>
        <w:rPr>
          <w:rFonts w:hint="eastAsia" w:ascii="宋体" w:hAnsi="宋体"/>
          <w:bCs/>
          <w:color w:val="auto"/>
          <w:sz w:val="21"/>
          <w:szCs w:val="21"/>
          <w:highlight w:val="none"/>
        </w:rPr>
        <w:t>合同未尽事宜，合同当事人另行签订补充协议，补充协议是合同的组成部分。</w:t>
      </w:r>
    </w:p>
    <w:p w14:paraId="4589B715">
      <w:pPr>
        <w:pStyle w:val="5"/>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bookmarkStart w:id="515" w:name="_Toc351203492"/>
      <w:r>
        <w:rPr>
          <w:rFonts w:hint="eastAsia" w:ascii="宋体" w:hAnsi="宋体"/>
          <w:bCs w:val="0"/>
          <w:color w:val="auto"/>
          <w:sz w:val="21"/>
          <w:szCs w:val="21"/>
          <w:highlight w:val="none"/>
        </w:rPr>
        <w:t>十二、合同生效</w:t>
      </w:r>
      <w:bookmarkEnd w:id="515"/>
    </w:p>
    <w:p w14:paraId="569BC5C7">
      <w:pPr>
        <w:pageBreakBefore w:val="0"/>
        <w:kinsoku/>
        <w:wordWrap/>
        <w:overflowPunct/>
        <w:topLinePunct w:val="0"/>
        <w:autoSpaceDE/>
        <w:autoSpaceDN/>
        <w:bidi w:val="0"/>
        <w:adjustRightInd/>
        <w:snapToGrid w:val="0"/>
        <w:spacing w:line="312" w:lineRule="auto"/>
        <w:ind w:firstLine="420"/>
        <w:textAlignment w:val="auto"/>
        <w:rPr>
          <w:rFonts w:ascii="宋体" w:hAnsi="宋体"/>
          <w:bCs/>
          <w:color w:val="auto"/>
          <w:sz w:val="21"/>
          <w:szCs w:val="21"/>
          <w:highlight w:val="none"/>
        </w:rPr>
      </w:pPr>
      <w:r>
        <w:rPr>
          <w:rFonts w:hint="eastAsia" w:ascii="宋体" w:hAnsi="宋体"/>
          <w:bCs/>
          <w:color w:val="auto"/>
          <w:sz w:val="21"/>
          <w:szCs w:val="21"/>
          <w:highlight w:val="none"/>
        </w:rPr>
        <w:t>本合同自生效。</w:t>
      </w:r>
    </w:p>
    <w:p w14:paraId="6E38B9F0">
      <w:pPr>
        <w:pStyle w:val="5"/>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bookmarkStart w:id="516" w:name="_Toc351203493"/>
      <w:r>
        <w:rPr>
          <w:rFonts w:hint="eastAsia" w:ascii="宋体" w:hAnsi="宋体"/>
          <w:bCs w:val="0"/>
          <w:color w:val="auto"/>
          <w:sz w:val="21"/>
          <w:szCs w:val="21"/>
          <w:highlight w:val="none"/>
        </w:rPr>
        <w:t>十三、合同份数</w:t>
      </w:r>
      <w:bookmarkEnd w:id="516"/>
    </w:p>
    <w:p w14:paraId="7D5F2AAA">
      <w:pPr>
        <w:pageBreakBefore w:val="0"/>
        <w:kinsoku/>
        <w:wordWrap/>
        <w:overflowPunct/>
        <w:topLinePunct w:val="0"/>
        <w:autoSpaceDE/>
        <w:autoSpaceDN/>
        <w:bidi w:val="0"/>
        <w:adjustRightInd/>
        <w:snapToGrid w:val="0"/>
        <w:spacing w:line="312" w:lineRule="auto"/>
        <w:ind w:firstLine="420"/>
        <w:textAlignment w:val="auto"/>
        <w:rPr>
          <w:rFonts w:ascii="宋体" w:hAnsi="宋体"/>
          <w:bCs/>
          <w:color w:val="auto"/>
          <w:sz w:val="21"/>
          <w:szCs w:val="21"/>
          <w:highlight w:val="none"/>
        </w:rPr>
      </w:pPr>
      <w:r>
        <w:rPr>
          <w:rFonts w:hint="eastAsia" w:ascii="宋体" w:hAnsi="宋体"/>
          <w:bCs/>
          <w:color w:val="auto"/>
          <w:sz w:val="21"/>
          <w:szCs w:val="21"/>
          <w:highlight w:val="none"/>
        </w:rPr>
        <w:t>本合同一式</w:t>
      </w:r>
      <w:r>
        <w:rPr>
          <w:rFonts w:hint="eastAsia" w:ascii="宋体" w:hAnsi="宋体"/>
          <w:bCs/>
          <w:color w:val="auto"/>
          <w:sz w:val="21"/>
          <w:szCs w:val="21"/>
          <w:highlight w:val="none"/>
          <w:u w:val="single"/>
          <w:lang w:val="en-US" w:eastAsia="zh-CN"/>
        </w:rPr>
        <w:t xml:space="preserve">     </w:t>
      </w:r>
      <w:r>
        <w:rPr>
          <w:rFonts w:hint="eastAsia" w:ascii="宋体" w:hAnsi="宋体"/>
          <w:bCs/>
          <w:color w:val="auto"/>
          <w:sz w:val="21"/>
          <w:szCs w:val="21"/>
          <w:highlight w:val="none"/>
        </w:rPr>
        <w:t>份，均具有同等法律效力，发包方执</w:t>
      </w:r>
      <w:r>
        <w:rPr>
          <w:rFonts w:hint="eastAsia" w:ascii="宋体" w:hAnsi="宋体"/>
          <w:bCs/>
          <w:color w:val="auto"/>
          <w:sz w:val="21"/>
          <w:szCs w:val="21"/>
          <w:highlight w:val="none"/>
          <w:u w:val="single"/>
          <w:lang w:val="en-US" w:eastAsia="zh-CN"/>
        </w:rPr>
        <w:t xml:space="preserve">   </w:t>
      </w:r>
      <w:r>
        <w:rPr>
          <w:rFonts w:hint="eastAsia" w:ascii="宋体" w:hAnsi="宋体"/>
          <w:bCs/>
          <w:color w:val="auto"/>
          <w:sz w:val="21"/>
          <w:szCs w:val="21"/>
          <w:highlight w:val="none"/>
          <w:u w:val="none"/>
          <w:lang w:val="en-US" w:eastAsia="zh-CN"/>
        </w:rPr>
        <w:t xml:space="preserve"> </w:t>
      </w:r>
      <w:r>
        <w:rPr>
          <w:rFonts w:hint="eastAsia" w:ascii="宋体" w:hAnsi="宋体"/>
          <w:bCs/>
          <w:color w:val="auto"/>
          <w:sz w:val="21"/>
          <w:szCs w:val="21"/>
          <w:highlight w:val="none"/>
        </w:rPr>
        <w:t>份，承包方执</w:t>
      </w:r>
      <w:r>
        <w:rPr>
          <w:rFonts w:hint="eastAsia" w:ascii="宋体" w:hAnsi="宋体"/>
          <w:bCs/>
          <w:color w:val="auto"/>
          <w:sz w:val="21"/>
          <w:szCs w:val="21"/>
          <w:highlight w:val="none"/>
          <w:u w:val="single"/>
          <w:lang w:val="en-US" w:eastAsia="zh-CN"/>
        </w:rPr>
        <w:t xml:space="preserve">    </w:t>
      </w:r>
      <w:r>
        <w:rPr>
          <w:rFonts w:hint="eastAsia" w:ascii="宋体" w:hAnsi="宋体"/>
          <w:bCs/>
          <w:color w:val="auto"/>
          <w:sz w:val="21"/>
          <w:szCs w:val="21"/>
          <w:highlight w:val="none"/>
        </w:rPr>
        <w:t>份，。</w:t>
      </w:r>
    </w:p>
    <w:p w14:paraId="62861F84">
      <w:pPr>
        <w:pageBreakBefore w:val="0"/>
        <w:kinsoku/>
        <w:wordWrap/>
        <w:overflowPunct/>
        <w:topLinePunct w:val="0"/>
        <w:autoSpaceDE/>
        <w:autoSpaceDN/>
        <w:bidi w:val="0"/>
        <w:adjustRightInd/>
        <w:snapToGrid w:val="0"/>
        <w:spacing w:line="312" w:lineRule="auto"/>
        <w:ind w:firstLine="420"/>
        <w:textAlignment w:val="auto"/>
        <w:rPr>
          <w:rFonts w:ascii="宋体" w:hAnsi="宋体"/>
          <w:bCs/>
          <w:color w:val="auto"/>
          <w:sz w:val="21"/>
          <w:szCs w:val="21"/>
          <w:highlight w:val="none"/>
        </w:rPr>
      </w:pPr>
    </w:p>
    <w:p w14:paraId="41DA91E7">
      <w:pPr>
        <w:pageBreakBefore w:val="0"/>
        <w:kinsoku/>
        <w:wordWrap/>
        <w:overflowPunct/>
        <w:topLinePunct w:val="0"/>
        <w:autoSpaceDE/>
        <w:autoSpaceDN/>
        <w:bidi w:val="0"/>
        <w:adjustRightInd/>
        <w:snapToGrid w:val="0"/>
        <w:spacing w:line="312" w:lineRule="auto"/>
        <w:textAlignment w:val="auto"/>
        <w:rPr>
          <w:rFonts w:ascii="宋体" w:hAnsi="宋体"/>
          <w:color w:val="auto"/>
          <w:sz w:val="21"/>
          <w:szCs w:val="21"/>
          <w:highlight w:val="none"/>
        </w:rPr>
      </w:pPr>
      <w:r>
        <w:rPr>
          <w:rFonts w:hint="eastAsia" w:ascii="宋体" w:hAnsi="宋体"/>
          <w:color w:val="auto"/>
          <w:sz w:val="21"/>
          <w:szCs w:val="21"/>
          <w:highlight w:val="none"/>
        </w:rPr>
        <w:t>发包</w:t>
      </w:r>
      <w:r>
        <w:rPr>
          <w:rFonts w:hint="eastAsia" w:ascii="宋体" w:hAnsi="宋体"/>
          <w:bCs/>
          <w:color w:val="auto"/>
          <w:sz w:val="21"/>
          <w:szCs w:val="21"/>
          <w:highlight w:val="none"/>
        </w:rPr>
        <w:t>方</w:t>
      </w:r>
      <w:r>
        <w:rPr>
          <w:rFonts w:ascii="宋体" w:hAnsi="宋体"/>
          <w:color w:val="auto"/>
          <w:sz w:val="21"/>
          <w:szCs w:val="21"/>
          <w:highlight w:val="none"/>
        </w:rPr>
        <w:t xml:space="preserve"> (</w:t>
      </w:r>
      <w:r>
        <w:rPr>
          <w:rFonts w:hint="eastAsia" w:ascii="宋体" w:hAnsi="宋体"/>
          <w:color w:val="auto"/>
          <w:sz w:val="21"/>
          <w:szCs w:val="21"/>
          <w:highlight w:val="none"/>
        </w:rPr>
        <w:t>公章</w:t>
      </w:r>
      <w:r>
        <w:rPr>
          <w:rFonts w:ascii="宋体" w:hAnsi="宋体"/>
          <w:color w:val="auto"/>
          <w:sz w:val="21"/>
          <w:szCs w:val="21"/>
          <w:highlight w:val="none"/>
        </w:rPr>
        <w:t>)</w:t>
      </w:r>
      <w:r>
        <w:rPr>
          <w:rFonts w:hint="eastAsia" w:ascii="宋体" w:hAnsi="宋体"/>
          <w:color w:val="auto"/>
          <w:sz w:val="21"/>
          <w:szCs w:val="21"/>
          <w:highlight w:val="none"/>
        </w:rPr>
        <w:t>：                                  承包</w:t>
      </w:r>
      <w:r>
        <w:rPr>
          <w:rFonts w:hint="eastAsia" w:ascii="宋体" w:hAnsi="宋体"/>
          <w:bCs/>
          <w:color w:val="auto"/>
          <w:sz w:val="21"/>
          <w:szCs w:val="21"/>
          <w:highlight w:val="none"/>
        </w:rPr>
        <w:t>方</w:t>
      </w:r>
      <w:r>
        <w:rPr>
          <w:rFonts w:ascii="宋体" w:hAnsi="宋体"/>
          <w:color w:val="auto"/>
          <w:sz w:val="21"/>
          <w:szCs w:val="21"/>
          <w:highlight w:val="none"/>
        </w:rPr>
        <w:t>(</w:t>
      </w:r>
      <w:r>
        <w:rPr>
          <w:rFonts w:hint="eastAsia" w:ascii="宋体" w:hAnsi="宋体"/>
          <w:color w:val="auto"/>
          <w:sz w:val="21"/>
          <w:szCs w:val="21"/>
          <w:highlight w:val="none"/>
        </w:rPr>
        <w:t>公章</w:t>
      </w:r>
      <w:r>
        <w:rPr>
          <w:rFonts w:ascii="宋体" w:hAnsi="宋体"/>
          <w:color w:val="auto"/>
          <w:sz w:val="21"/>
          <w:szCs w:val="21"/>
          <w:highlight w:val="none"/>
        </w:rPr>
        <w:t>)</w:t>
      </w:r>
      <w:r>
        <w:rPr>
          <w:rFonts w:hint="eastAsia" w:ascii="宋体" w:hAnsi="宋体"/>
          <w:color w:val="auto"/>
          <w:sz w:val="21"/>
          <w:szCs w:val="21"/>
          <w:highlight w:val="none"/>
        </w:rPr>
        <w:t>：</w:t>
      </w:r>
    </w:p>
    <w:p w14:paraId="7A4A2512">
      <w:pPr>
        <w:pageBreakBefore w:val="0"/>
        <w:kinsoku/>
        <w:wordWrap/>
        <w:overflowPunct/>
        <w:topLinePunct w:val="0"/>
        <w:autoSpaceDE/>
        <w:autoSpaceDN/>
        <w:bidi w:val="0"/>
        <w:adjustRightInd/>
        <w:snapToGrid w:val="0"/>
        <w:spacing w:line="312" w:lineRule="auto"/>
        <w:ind w:left="5880" w:hanging="5880"/>
        <w:textAlignment w:val="auto"/>
        <w:rPr>
          <w:rFonts w:eastAsia="仿宋_GB2312"/>
          <w:color w:val="auto"/>
          <w:sz w:val="21"/>
          <w:szCs w:val="21"/>
          <w:highlight w:val="none"/>
          <w:u w:val="single"/>
        </w:rPr>
      </w:pPr>
      <w:r>
        <w:rPr>
          <w:rFonts w:hint="eastAsia" w:ascii="宋体" w:hAnsi="宋体"/>
          <w:color w:val="auto"/>
          <w:sz w:val="21"/>
          <w:szCs w:val="21"/>
          <w:highlight w:val="none"/>
        </w:rPr>
        <w:t>法定代表人或其委托代理人（签字或盖章）：        法定代表人或其委托代理人（签字或盖章）：</w:t>
      </w:r>
    </w:p>
    <w:p w14:paraId="7F5656A3">
      <w:pPr>
        <w:pageBreakBefore w:val="0"/>
        <w:tabs>
          <w:tab w:val="left" w:pos="4410"/>
        </w:tabs>
        <w:kinsoku/>
        <w:wordWrap/>
        <w:overflowPunct/>
        <w:topLinePunct w:val="0"/>
        <w:autoSpaceDE/>
        <w:autoSpaceDN/>
        <w:bidi w:val="0"/>
        <w:adjustRightInd/>
        <w:snapToGrid w:val="0"/>
        <w:spacing w:line="312" w:lineRule="auto"/>
        <w:textAlignment w:val="auto"/>
        <w:rPr>
          <w:rFonts w:ascii="宋体" w:hAnsi="宋体"/>
          <w:color w:val="auto"/>
          <w:sz w:val="21"/>
          <w:szCs w:val="21"/>
          <w:highlight w:val="none"/>
        </w:rPr>
      </w:pPr>
      <w:r>
        <w:rPr>
          <w:rFonts w:hint="eastAsia" w:ascii="宋体" w:hAnsi="宋体"/>
          <w:color w:val="auto"/>
          <w:sz w:val="21"/>
          <w:szCs w:val="21"/>
          <w:highlight w:val="none"/>
        </w:rPr>
        <w:t>组织机构代码：                                   组织机构代码：</w:t>
      </w:r>
    </w:p>
    <w:p w14:paraId="3EA08FA4">
      <w:pPr>
        <w:pageBreakBefore w:val="0"/>
        <w:kinsoku/>
        <w:wordWrap/>
        <w:overflowPunct/>
        <w:topLinePunct w:val="0"/>
        <w:autoSpaceDE/>
        <w:autoSpaceDN/>
        <w:bidi w:val="0"/>
        <w:adjustRightInd/>
        <w:snapToGrid w:val="0"/>
        <w:spacing w:line="312" w:lineRule="auto"/>
        <w:textAlignment w:val="auto"/>
        <w:rPr>
          <w:rFonts w:ascii="宋体" w:hAnsi="宋体"/>
          <w:color w:val="auto"/>
          <w:sz w:val="21"/>
          <w:szCs w:val="21"/>
          <w:highlight w:val="none"/>
        </w:rPr>
      </w:pPr>
      <w:r>
        <w:rPr>
          <w:rFonts w:hint="eastAsia" w:ascii="宋体" w:hAnsi="宋体"/>
          <w:color w:val="auto"/>
          <w:sz w:val="21"/>
          <w:szCs w:val="21"/>
          <w:highlight w:val="none"/>
        </w:rPr>
        <w:t>地址：                                           地址：</w:t>
      </w:r>
    </w:p>
    <w:p w14:paraId="06A0E87A">
      <w:pPr>
        <w:pageBreakBefore w:val="0"/>
        <w:kinsoku/>
        <w:wordWrap/>
        <w:overflowPunct/>
        <w:topLinePunct w:val="0"/>
        <w:autoSpaceDE/>
        <w:autoSpaceDN/>
        <w:bidi w:val="0"/>
        <w:adjustRightInd/>
        <w:snapToGrid w:val="0"/>
        <w:spacing w:line="312" w:lineRule="auto"/>
        <w:textAlignment w:val="auto"/>
        <w:rPr>
          <w:rFonts w:ascii="宋体" w:hAnsi="宋体"/>
          <w:color w:val="auto"/>
          <w:sz w:val="21"/>
          <w:szCs w:val="21"/>
          <w:highlight w:val="none"/>
        </w:rPr>
      </w:pPr>
      <w:r>
        <w:rPr>
          <w:rFonts w:hint="eastAsia" w:ascii="宋体" w:hAnsi="宋体"/>
          <w:color w:val="auto"/>
          <w:sz w:val="21"/>
          <w:szCs w:val="21"/>
          <w:highlight w:val="none"/>
        </w:rPr>
        <w:t>邮政编码：                                       邮政编码：</w:t>
      </w:r>
    </w:p>
    <w:p w14:paraId="383D9303">
      <w:pPr>
        <w:pageBreakBefore w:val="0"/>
        <w:kinsoku/>
        <w:wordWrap/>
        <w:overflowPunct/>
        <w:topLinePunct w:val="0"/>
        <w:autoSpaceDE/>
        <w:autoSpaceDN/>
        <w:bidi w:val="0"/>
        <w:adjustRightInd/>
        <w:snapToGrid w:val="0"/>
        <w:spacing w:line="312" w:lineRule="auto"/>
        <w:textAlignment w:val="auto"/>
        <w:rPr>
          <w:rFonts w:ascii="宋体" w:hAnsi="宋体"/>
          <w:color w:val="auto"/>
          <w:sz w:val="21"/>
          <w:szCs w:val="21"/>
          <w:highlight w:val="none"/>
        </w:rPr>
      </w:pPr>
      <w:r>
        <w:rPr>
          <w:rFonts w:hint="eastAsia" w:ascii="宋体" w:hAnsi="宋体"/>
          <w:color w:val="auto"/>
          <w:sz w:val="21"/>
          <w:szCs w:val="21"/>
          <w:highlight w:val="none"/>
        </w:rPr>
        <w:t>法定代表人：                                     法定代表人：</w:t>
      </w:r>
    </w:p>
    <w:p w14:paraId="3A1FA6AF">
      <w:pPr>
        <w:pageBreakBefore w:val="0"/>
        <w:kinsoku/>
        <w:wordWrap/>
        <w:overflowPunct/>
        <w:topLinePunct w:val="0"/>
        <w:autoSpaceDE/>
        <w:autoSpaceDN/>
        <w:bidi w:val="0"/>
        <w:adjustRightInd/>
        <w:snapToGrid w:val="0"/>
        <w:spacing w:line="312" w:lineRule="auto"/>
        <w:textAlignment w:val="auto"/>
        <w:rPr>
          <w:rFonts w:ascii="宋体" w:hAnsi="宋体"/>
          <w:color w:val="auto"/>
          <w:sz w:val="21"/>
          <w:szCs w:val="21"/>
          <w:highlight w:val="none"/>
        </w:rPr>
      </w:pPr>
      <w:r>
        <w:rPr>
          <w:rFonts w:hint="eastAsia" w:ascii="宋体" w:hAnsi="宋体"/>
          <w:color w:val="auto"/>
          <w:sz w:val="21"/>
          <w:szCs w:val="21"/>
          <w:highlight w:val="none"/>
        </w:rPr>
        <w:t>委托代理人：                                     委托代理人：</w:t>
      </w:r>
    </w:p>
    <w:p w14:paraId="0A18D22A">
      <w:pPr>
        <w:pageBreakBefore w:val="0"/>
        <w:kinsoku/>
        <w:wordWrap/>
        <w:overflowPunct/>
        <w:topLinePunct w:val="0"/>
        <w:autoSpaceDE/>
        <w:autoSpaceDN/>
        <w:bidi w:val="0"/>
        <w:adjustRightInd/>
        <w:snapToGrid w:val="0"/>
        <w:spacing w:line="312" w:lineRule="auto"/>
        <w:textAlignment w:val="auto"/>
        <w:rPr>
          <w:rFonts w:ascii="宋体" w:hAnsi="宋体"/>
          <w:color w:val="auto"/>
          <w:sz w:val="21"/>
          <w:szCs w:val="21"/>
          <w:highlight w:val="none"/>
        </w:rPr>
      </w:pPr>
      <w:r>
        <w:rPr>
          <w:rFonts w:hint="eastAsia" w:ascii="宋体" w:hAnsi="宋体"/>
          <w:color w:val="auto"/>
          <w:sz w:val="21"/>
          <w:szCs w:val="21"/>
          <w:highlight w:val="none"/>
        </w:rPr>
        <w:t>电话：                                           电话：</w:t>
      </w:r>
    </w:p>
    <w:p w14:paraId="73E57F8E">
      <w:pPr>
        <w:pageBreakBefore w:val="0"/>
        <w:kinsoku/>
        <w:wordWrap/>
        <w:overflowPunct/>
        <w:topLinePunct w:val="0"/>
        <w:autoSpaceDE/>
        <w:autoSpaceDN/>
        <w:bidi w:val="0"/>
        <w:adjustRightInd/>
        <w:snapToGrid w:val="0"/>
        <w:spacing w:line="312" w:lineRule="auto"/>
        <w:textAlignment w:val="auto"/>
        <w:rPr>
          <w:rFonts w:ascii="宋体" w:hAnsi="宋体"/>
          <w:color w:val="auto"/>
          <w:sz w:val="21"/>
          <w:szCs w:val="21"/>
          <w:highlight w:val="none"/>
        </w:rPr>
      </w:pPr>
      <w:r>
        <w:rPr>
          <w:rFonts w:hint="eastAsia" w:ascii="宋体" w:hAnsi="宋体"/>
          <w:color w:val="auto"/>
          <w:sz w:val="21"/>
          <w:szCs w:val="21"/>
          <w:highlight w:val="none"/>
        </w:rPr>
        <w:t>传真：                                           传真：</w:t>
      </w:r>
    </w:p>
    <w:p w14:paraId="5521B00D">
      <w:pPr>
        <w:pageBreakBefore w:val="0"/>
        <w:kinsoku/>
        <w:wordWrap/>
        <w:overflowPunct/>
        <w:topLinePunct w:val="0"/>
        <w:autoSpaceDE/>
        <w:autoSpaceDN/>
        <w:bidi w:val="0"/>
        <w:adjustRightInd/>
        <w:snapToGrid w:val="0"/>
        <w:spacing w:line="312" w:lineRule="auto"/>
        <w:textAlignment w:val="auto"/>
        <w:rPr>
          <w:rFonts w:ascii="宋体" w:hAnsi="宋体"/>
          <w:color w:val="auto"/>
          <w:sz w:val="21"/>
          <w:szCs w:val="21"/>
          <w:highlight w:val="none"/>
        </w:rPr>
      </w:pPr>
      <w:r>
        <w:rPr>
          <w:rFonts w:hint="eastAsia" w:ascii="宋体" w:hAnsi="宋体"/>
          <w:color w:val="auto"/>
          <w:sz w:val="21"/>
          <w:szCs w:val="21"/>
          <w:highlight w:val="none"/>
        </w:rPr>
        <w:t>电子信箱：                                       电子信箱：</w:t>
      </w:r>
    </w:p>
    <w:p w14:paraId="7C687E66">
      <w:pPr>
        <w:pageBreakBefore w:val="0"/>
        <w:kinsoku/>
        <w:wordWrap/>
        <w:overflowPunct/>
        <w:topLinePunct w:val="0"/>
        <w:autoSpaceDE/>
        <w:autoSpaceDN/>
        <w:bidi w:val="0"/>
        <w:adjustRightInd/>
        <w:snapToGrid w:val="0"/>
        <w:spacing w:line="312" w:lineRule="auto"/>
        <w:textAlignment w:val="auto"/>
        <w:rPr>
          <w:rFonts w:ascii="宋体" w:hAnsi="宋体"/>
          <w:color w:val="auto"/>
          <w:sz w:val="21"/>
          <w:szCs w:val="21"/>
          <w:highlight w:val="none"/>
        </w:rPr>
      </w:pPr>
      <w:r>
        <w:rPr>
          <w:rFonts w:hint="eastAsia" w:ascii="宋体" w:hAnsi="宋体"/>
          <w:color w:val="auto"/>
          <w:sz w:val="21"/>
          <w:szCs w:val="21"/>
          <w:highlight w:val="none"/>
        </w:rPr>
        <w:t>开户银行：                                       开户银行：</w:t>
      </w:r>
    </w:p>
    <w:p w14:paraId="5F0D9147">
      <w:pPr>
        <w:pageBreakBefore w:val="0"/>
        <w:kinsoku/>
        <w:wordWrap/>
        <w:overflowPunct/>
        <w:topLinePunct w:val="0"/>
        <w:autoSpaceDE/>
        <w:autoSpaceDN/>
        <w:bidi w:val="0"/>
        <w:adjustRightInd/>
        <w:snapToGrid w:val="0"/>
        <w:spacing w:line="312" w:lineRule="auto"/>
        <w:textAlignment w:val="auto"/>
        <w:rPr>
          <w:rFonts w:ascii="宋体" w:hAnsi="宋体"/>
          <w:color w:val="auto"/>
          <w:sz w:val="21"/>
          <w:szCs w:val="21"/>
          <w:highlight w:val="none"/>
        </w:rPr>
      </w:pPr>
      <w:r>
        <w:rPr>
          <w:rFonts w:hint="eastAsia" w:ascii="宋体" w:hAnsi="宋体"/>
          <w:color w:val="auto"/>
          <w:sz w:val="21"/>
          <w:szCs w:val="21"/>
          <w:highlight w:val="none"/>
        </w:rPr>
        <w:t>账号：                                           账号：</w:t>
      </w:r>
    </w:p>
    <w:p w14:paraId="50BC633F">
      <w:pPr>
        <w:pageBreakBefore w:val="0"/>
        <w:tabs>
          <w:tab w:val="left" w:pos="0"/>
        </w:tabs>
        <w:kinsoku/>
        <w:wordWrap/>
        <w:overflowPunct/>
        <w:topLinePunct w:val="0"/>
        <w:autoSpaceDE/>
        <w:autoSpaceDN/>
        <w:bidi w:val="0"/>
        <w:adjustRightInd/>
        <w:snapToGrid w:val="0"/>
        <w:spacing w:line="312" w:lineRule="auto"/>
        <w:ind w:right="-36" w:firstLine="529"/>
        <w:textAlignment w:val="auto"/>
        <w:rPr>
          <w:color w:val="auto"/>
          <w:sz w:val="21"/>
          <w:szCs w:val="21"/>
          <w:highlight w:val="none"/>
        </w:rPr>
      </w:pPr>
    </w:p>
    <w:p w14:paraId="086866A0">
      <w:pPr>
        <w:pageBreakBefore w:val="0"/>
        <w:kinsoku/>
        <w:wordWrap/>
        <w:overflowPunct/>
        <w:topLinePunct w:val="0"/>
        <w:autoSpaceDE/>
        <w:autoSpaceDN/>
        <w:bidi w:val="0"/>
        <w:adjustRightInd/>
        <w:snapToGrid w:val="0"/>
        <w:spacing w:line="312" w:lineRule="auto"/>
        <w:textAlignment w:val="auto"/>
        <w:rPr>
          <w:rFonts w:ascii="宋体" w:hAnsi="宋体"/>
          <w:color w:val="auto"/>
          <w:sz w:val="21"/>
          <w:szCs w:val="21"/>
          <w:highlight w:val="none"/>
        </w:rPr>
      </w:pPr>
    </w:p>
    <w:p w14:paraId="49697F9D">
      <w:pPr>
        <w:pageBreakBefore w:val="0"/>
        <w:kinsoku/>
        <w:wordWrap/>
        <w:overflowPunct/>
        <w:topLinePunct w:val="0"/>
        <w:autoSpaceDE/>
        <w:autoSpaceDN/>
        <w:bidi w:val="0"/>
        <w:adjustRightInd/>
        <w:snapToGrid w:val="0"/>
        <w:spacing w:line="312" w:lineRule="auto"/>
        <w:textAlignment w:val="auto"/>
        <w:rPr>
          <w:rFonts w:ascii="宋体" w:hAnsi="宋体"/>
          <w:color w:val="auto"/>
          <w:sz w:val="21"/>
          <w:szCs w:val="21"/>
          <w:highlight w:val="none"/>
        </w:rPr>
      </w:pPr>
    </w:p>
    <w:p w14:paraId="3460645F">
      <w:pPr>
        <w:pageBreakBefore w:val="0"/>
        <w:kinsoku/>
        <w:wordWrap/>
        <w:overflowPunct/>
        <w:topLinePunct w:val="0"/>
        <w:autoSpaceDE/>
        <w:autoSpaceDN/>
        <w:bidi w:val="0"/>
        <w:adjustRightInd/>
        <w:snapToGrid w:val="0"/>
        <w:spacing w:line="312" w:lineRule="auto"/>
        <w:textAlignment w:val="auto"/>
        <w:rPr>
          <w:rFonts w:hint="eastAsia" w:ascii="宋体" w:hAnsi="宋体"/>
          <w:color w:val="auto"/>
          <w:sz w:val="21"/>
          <w:szCs w:val="21"/>
          <w:highlight w:val="none"/>
        </w:rPr>
      </w:pPr>
    </w:p>
    <w:p w14:paraId="543BC77C">
      <w:pPr>
        <w:pageBreakBefore w:val="0"/>
        <w:kinsoku/>
        <w:wordWrap/>
        <w:overflowPunct/>
        <w:topLinePunct w:val="0"/>
        <w:autoSpaceDE/>
        <w:autoSpaceDN/>
        <w:bidi w:val="0"/>
        <w:adjustRightInd/>
        <w:snapToGrid w:val="0"/>
        <w:spacing w:line="312" w:lineRule="auto"/>
        <w:textAlignment w:val="auto"/>
        <w:rPr>
          <w:rFonts w:ascii="宋体" w:hAnsi="宋体"/>
          <w:color w:val="auto"/>
          <w:sz w:val="21"/>
          <w:szCs w:val="21"/>
          <w:highlight w:val="none"/>
        </w:rPr>
      </w:pPr>
    </w:p>
    <w:p w14:paraId="04D8FD0A">
      <w:pPr>
        <w:pStyle w:val="4"/>
        <w:pageBreakBefore w:val="0"/>
        <w:kinsoku/>
        <w:wordWrap/>
        <w:overflowPunct/>
        <w:topLinePunct w:val="0"/>
        <w:autoSpaceDE/>
        <w:autoSpaceDN/>
        <w:bidi w:val="0"/>
        <w:adjustRightInd/>
        <w:snapToGrid w:val="0"/>
        <w:spacing w:before="0" w:after="0" w:line="312" w:lineRule="auto"/>
        <w:textAlignment w:val="auto"/>
        <w:rPr>
          <w:rFonts w:ascii="宋体" w:hAnsi="宋体" w:eastAsia="宋体"/>
          <w:color w:val="auto"/>
          <w:sz w:val="28"/>
          <w:szCs w:val="28"/>
          <w:highlight w:val="none"/>
        </w:rPr>
      </w:pPr>
      <w:bookmarkStart w:id="517" w:name="_Toc135042823"/>
      <w:bookmarkStart w:id="518" w:name="_Toc156835709"/>
      <w:bookmarkStart w:id="519" w:name="_Toc498006745"/>
      <w:r>
        <w:rPr>
          <w:rFonts w:hint="eastAsia" w:ascii="宋体" w:hAnsi="宋体" w:eastAsia="宋体"/>
          <w:color w:val="auto"/>
          <w:sz w:val="28"/>
          <w:szCs w:val="28"/>
          <w:highlight w:val="none"/>
        </w:rPr>
        <w:t>第二部分 通用合同条款</w:t>
      </w:r>
      <w:bookmarkEnd w:id="517"/>
      <w:bookmarkEnd w:id="518"/>
      <w:bookmarkEnd w:id="519"/>
    </w:p>
    <w:p w14:paraId="48246867">
      <w:pPr>
        <w:pageBreakBefore w:val="0"/>
        <w:kinsoku/>
        <w:wordWrap/>
        <w:overflowPunct/>
        <w:topLinePunct w:val="0"/>
        <w:autoSpaceDE/>
        <w:autoSpaceDN/>
        <w:bidi w:val="0"/>
        <w:adjustRightInd/>
        <w:snapToGrid w:val="0"/>
        <w:spacing w:line="312" w:lineRule="auto"/>
        <w:ind w:firstLine="480"/>
        <w:textAlignment w:val="auto"/>
        <w:rPr>
          <w:rFonts w:ascii="宋体" w:hAnsi="宋体"/>
          <w:color w:val="auto"/>
          <w:szCs w:val="21"/>
          <w:highlight w:val="none"/>
        </w:rPr>
      </w:pPr>
    </w:p>
    <w:p w14:paraId="4C9FF6A3">
      <w:pPr>
        <w:pageBreakBefore w:val="0"/>
        <w:kinsoku/>
        <w:wordWrap/>
        <w:overflowPunct/>
        <w:topLinePunct w:val="0"/>
        <w:autoSpaceDE/>
        <w:autoSpaceDN/>
        <w:bidi w:val="0"/>
        <w:adjustRightInd/>
        <w:snapToGrid w:val="0"/>
        <w:spacing w:line="312" w:lineRule="auto"/>
        <w:ind w:firstLine="480"/>
        <w:textAlignment w:val="auto"/>
        <w:rPr>
          <w:rFonts w:ascii="宋体" w:hAnsi="宋体" w:cs="宋体"/>
          <w:color w:val="auto"/>
          <w:szCs w:val="21"/>
          <w:highlight w:val="none"/>
        </w:rPr>
      </w:pPr>
      <w:r>
        <w:rPr>
          <w:rFonts w:hint="eastAsia" w:ascii="宋体" w:hAnsi="宋体"/>
          <w:bCs/>
          <w:color w:val="auto"/>
          <w:szCs w:val="21"/>
          <w:highlight w:val="none"/>
        </w:rPr>
        <w:t xml:space="preserve"> 采用《</w:t>
      </w:r>
      <w:r>
        <w:rPr>
          <w:rFonts w:ascii="宋体" w:hAnsi="宋体"/>
          <w:bCs/>
          <w:color w:val="auto"/>
          <w:szCs w:val="21"/>
          <w:highlight w:val="none"/>
        </w:rPr>
        <w:t>建设工程施工合同（示范文本）</w:t>
      </w:r>
      <w:r>
        <w:rPr>
          <w:rFonts w:hint="eastAsia" w:ascii="宋体" w:hAnsi="宋体"/>
          <w:bCs/>
          <w:color w:val="auto"/>
          <w:szCs w:val="21"/>
          <w:highlight w:val="none"/>
        </w:rPr>
        <w:t>》</w:t>
      </w:r>
      <w:r>
        <w:rPr>
          <w:rFonts w:ascii="宋体" w:hAnsi="宋体"/>
          <w:bCs/>
          <w:color w:val="auto"/>
          <w:szCs w:val="21"/>
          <w:highlight w:val="none"/>
        </w:rPr>
        <w:t>（GF—201</w:t>
      </w:r>
      <w:r>
        <w:rPr>
          <w:rFonts w:hint="eastAsia" w:ascii="宋体" w:hAnsi="宋体"/>
          <w:bCs/>
          <w:color w:val="auto"/>
          <w:szCs w:val="21"/>
          <w:highlight w:val="none"/>
        </w:rPr>
        <w:t>7</w:t>
      </w:r>
      <w:r>
        <w:rPr>
          <w:rFonts w:ascii="宋体" w:hAnsi="宋体"/>
          <w:bCs/>
          <w:color w:val="auto"/>
          <w:szCs w:val="21"/>
          <w:highlight w:val="none"/>
        </w:rPr>
        <w:t>—</w:t>
      </w:r>
      <w:r>
        <w:rPr>
          <w:rFonts w:hint="eastAsia" w:ascii="宋体" w:hAnsi="宋体"/>
          <w:bCs/>
          <w:color w:val="auto"/>
          <w:szCs w:val="21"/>
          <w:highlight w:val="none"/>
        </w:rPr>
        <w:t>0201）。</w:t>
      </w:r>
    </w:p>
    <w:p w14:paraId="54136FA9">
      <w:pPr>
        <w:pageBreakBefore w:val="0"/>
        <w:tabs>
          <w:tab w:val="left" w:pos="0"/>
        </w:tabs>
        <w:kinsoku/>
        <w:wordWrap/>
        <w:overflowPunct/>
        <w:topLinePunct w:val="0"/>
        <w:autoSpaceDE/>
        <w:autoSpaceDN/>
        <w:bidi w:val="0"/>
        <w:adjustRightInd/>
        <w:snapToGrid w:val="0"/>
        <w:spacing w:line="312" w:lineRule="auto"/>
        <w:ind w:right="-36" w:firstLine="604"/>
        <w:textAlignment w:val="auto"/>
        <w:rPr>
          <w:color w:val="auto"/>
          <w:highlight w:val="none"/>
        </w:rPr>
      </w:pPr>
    </w:p>
    <w:p w14:paraId="6A053073">
      <w:pPr>
        <w:pStyle w:val="4"/>
        <w:pageBreakBefore w:val="0"/>
        <w:kinsoku/>
        <w:wordWrap/>
        <w:overflowPunct/>
        <w:topLinePunct w:val="0"/>
        <w:autoSpaceDE/>
        <w:autoSpaceDN/>
        <w:bidi w:val="0"/>
        <w:adjustRightInd/>
        <w:snapToGrid w:val="0"/>
        <w:spacing w:before="0" w:after="0" w:line="312" w:lineRule="auto"/>
        <w:jc w:val="center"/>
        <w:textAlignment w:val="auto"/>
        <w:rPr>
          <w:rFonts w:ascii="宋体" w:hAnsi="宋体" w:eastAsia="宋体"/>
          <w:color w:val="auto"/>
          <w:sz w:val="28"/>
          <w:szCs w:val="44"/>
          <w:highlight w:val="none"/>
        </w:rPr>
      </w:pPr>
      <w:r>
        <w:rPr>
          <w:color w:val="auto"/>
          <w:highlight w:val="none"/>
        </w:rPr>
        <w:br w:type="page" w:clear="all"/>
      </w:r>
      <w:bookmarkStart w:id="520" w:name="_Toc498006746"/>
      <w:bookmarkStart w:id="521" w:name="_Toc32544"/>
      <w:bookmarkStart w:id="522" w:name="_Toc156835710"/>
      <w:bookmarkStart w:id="523" w:name="_Toc135042824"/>
      <w:r>
        <w:rPr>
          <w:rFonts w:hint="eastAsia" w:ascii="宋体" w:hAnsi="宋体" w:eastAsia="宋体"/>
          <w:color w:val="auto"/>
          <w:sz w:val="28"/>
          <w:szCs w:val="44"/>
          <w:highlight w:val="none"/>
        </w:rPr>
        <w:t>第三部分 专用合同条款</w:t>
      </w:r>
      <w:bookmarkEnd w:id="520"/>
      <w:bookmarkEnd w:id="521"/>
      <w:bookmarkEnd w:id="522"/>
      <w:bookmarkEnd w:id="523"/>
    </w:p>
    <w:p w14:paraId="4F065738">
      <w:pPr>
        <w:pStyle w:val="5"/>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bookmarkStart w:id="524" w:name="_Toc351203652"/>
      <w:r>
        <w:rPr>
          <w:rFonts w:ascii="宋体" w:hAnsi="宋体"/>
          <w:bCs w:val="0"/>
          <w:color w:val="auto"/>
          <w:sz w:val="21"/>
          <w:szCs w:val="21"/>
          <w:highlight w:val="none"/>
        </w:rPr>
        <w:t xml:space="preserve">1. </w:t>
      </w:r>
      <w:r>
        <w:rPr>
          <w:rFonts w:hint="eastAsia" w:ascii="宋体" w:hAnsi="宋体"/>
          <w:bCs w:val="0"/>
          <w:color w:val="auto"/>
          <w:sz w:val="21"/>
          <w:szCs w:val="21"/>
          <w:highlight w:val="none"/>
        </w:rPr>
        <w:t>一般约定</w:t>
      </w:r>
    </w:p>
    <w:p w14:paraId="70B90010">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1.1 </w:t>
      </w:r>
      <w:r>
        <w:rPr>
          <w:rFonts w:hint="eastAsia" w:ascii="宋体" w:hAnsi="宋体"/>
          <w:color w:val="auto"/>
          <w:sz w:val="21"/>
          <w:szCs w:val="21"/>
          <w:highlight w:val="none"/>
        </w:rPr>
        <w:t>词语定义</w:t>
      </w:r>
    </w:p>
    <w:p w14:paraId="07CBE5EA">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1.1.1</w:t>
      </w:r>
      <w:r>
        <w:rPr>
          <w:rFonts w:hint="eastAsia" w:ascii="宋体" w:hAnsi="宋体"/>
          <w:color w:val="auto"/>
          <w:sz w:val="21"/>
          <w:szCs w:val="21"/>
          <w:highlight w:val="none"/>
        </w:rPr>
        <w:t>合同</w:t>
      </w:r>
    </w:p>
    <w:p w14:paraId="692DA585">
      <w:pPr>
        <w:pageBreakBefore w:val="0"/>
        <w:kinsoku/>
        <w:wordWrap/>
        <w:overflowPunct/>
        <w:topLinePunct w:val="0"/>
        <w:autoSpaceDE/>
        <w:autoSpaceDN/>
        <w:bidi w:val="0"/>
        <w:adjustRightInd/>
        <w:snapToGrid w:val="0"/>
        <w:spacing w:line="312" w:lineRule="auto"/>
        <w:ind w:left="1215" w:hanging="735"/>
        <w:textAlignment w:val="auto"/>
        <w:rPr>
          <w:rFonts w:ascii="宋体" w:hAnsi="宋体"/>
          <w:color w:val="auto"/>
          <w:sz w:val="21"/>
          <w:szCs w:val="21"/>
          <w:highlight w:val="none"/>
          <w:u w:val="single"/>
        </w:rPr>
      </w:pPr>
      <w:r>
        <w:rPr>
          <w:rFonts w:ascii="宋体" w:hAnsi="宋体"/>
          <w:color w:val="auto"/>
          <w:sz w:val="21"/>
          <w:szCs w:val="21"/>
          <w:highlight w:val="none"/>
        </w:rPr>
        <w:t>1.1.1.10</w:t>
      </w:r>
      <w:r>
        <w:rPr>
          <w:rFonts w:hint="eastAsia" w:ascii="宋体" w:hAnsi="宋体"/>
          <w:color w:val="auto"/>
          <w:sz w:val="21"/>
          <w:szCs w:val="21"/>
          <w:highlight w:val="none"/>
        </w:rPr>
        <w:t>其他合同文件包括：</w:t>
      </w:r>
      <w:r>
        <w:rPr>
          <w:rFonts w:hint="eastAsia" w:ascii="宋体" w:hAnsi="宋体"/>
          <w:color w:val="auto"/>
          <w:sz w:val="21"/>
          <w:szCs w:val="21"/>
          <w:highlight w:val="none"/>
          <w:u w:val="single"/>
        </w:rPr>
        <w:t>（1）本合同协议书（2）中标通知书（3）本合同专用条</w:t>
      </w:r>
    </w:p>
    <w:p w14:paraId="69DFA27E">
      <w:pPr>
        <w:pageBreakBefore w:val="0"/>
        <w:kinsoku/>
        <w:wordWrap/>
        <w:overflowPunct/>
        <w:topLinePunct w:val="0"/>
        <w:autoSpaceDE/>
        <w:autoSpaceDN/>
        <w:bidi w:val="0"/>
        <w:adjustRightInd/>
        <w:snapToGrid w:val="0"/>
        <w:spacing w:line="312" w:lineRule="auto"/>
        <w:textAlignment w:val="auto"/>
        <w:rPr>
          <w:rFonts w:ascii="宋体" w:hAnsi="宋体"/>
          <w:color w:val="auto"/>
          <w:sz w:val="21"/>
          <w:szCs w:val="21"/>
          <w:highlight w:val="none"/>
        </w:rPr>
      </w:pPr>
      <w:r>
        <w:rPr>
          <w:rFonts w:hint="eastAsia" w:ascii="宋体" w:hAnsi="宋体"/>
          <w:color w:val="auto"/>
          <w:sz w:val="21"/>
          <w:szCs w:val="21"/>
          <w:highlight w:val="none"/>
          <w:u w:val="single"/>
        </w:rPr>
        <w:t>款（4）本合同通用条款（5）投标书及其附件（6）标准、规范及有关技术文件（7）图纸（8）工程量清单（9）工程报价单或预算书（10）合同履行中，发包方承包方有关工程的洽商、变更等书面协议或文件视为本合同的组成部分</w:t>
      </w:r>
      <w:r>
        <w:rPr>
          <w:rFonts w:hint="eastAsia" w:ascii="宋体" w:hAnsi="宋体"/>
          <w:color w:val="auto"/>
          <w:sz w:val="21"/>
          <w:szCs w:val="21"/>
          <w:highlight w:val="none"/>
        </w:rPr>
        <w:t>。</w:t>
      </w:r>
    </w:p>
    <w:p w14:paraId="7BF79CED">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1.1.</w:t>
      </w:r>
      <w:r>
        <w:rPr>
          <w:rFonts w:hint="eastAsia" w:ascii="宋体" w:hAnsi="宋体"/>
          <w:color w:val="auto"/>
          <w:sz w:val="21"/>
          <w:szCs w:val="21"/>
          <w:highlight w:val="none"/>
        </w:rPr>
        <w:t>2合同当事人及其他相关方</w:t>
      </w:r>
    </w:p>
    <w:p w14:paraId="2B342428">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1.1.2.</w:t>
      </w:r>
      <w:r>
        <w:rPr>
          <w:rFonts w:hint="eastAsia" w:ascii="宋体" w:hAnsi="宋体"/>
          <w:color w:val="auto"/>
          <w:sz w:val="21"/>
          <w:szCs w:val="21"/>
          <w:highlight w:val="none"/>
        </w:rPr>
        <w:t>4监理人：</w:t>
      </w:r>
    </w:p>
    <w:p w14:paraId="43FFB1A4">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名称：；</w:t>
      </w:r>
    </w:p>
    <w:p w14:paraId="68FF0C45">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资质类别和等级：；</w:t>
      </w:r>
    </w:p>
    <w:p w14:paraId="20432E46">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联系电话：；</w:t>
      </w:r>
    </w:p>
    <w:p w14:paraId="44FB130C">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电子信箱：；</w:t>
      </w:r>
    </w:p>
    <w:p w14:paraId="34E5A665">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通信地址：。</w:t>
      </w:r>
    </w:p>
    <w:p w14:paraId="45E39B36">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1.1.2.</w:t>
      </w:r>
      <w:r>
        <w:rPr>
          <w:rFonts w:hint="eastAsia" w:ascii="宋体" w:hAnsi="宋体"/>
          <w:color w:val="auto"/>
          <w:sz w:val="21"/>
          <w:szCs w:val="21"/>
          <w:highlight w:val="none"/>
        </w:rPr>
        <w:t>5设计人：；</w:t>
      </w:r>
    </w:p>
    <w:p w14:paraId="15C229F5">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名称：；</w:t>
      </w:r>
    </w:p>
    <w:p w14:paraId="7806BF04">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资质类别和等级：；</w:t>
      </w:r>
    </w:p>
    <w:p w14:paraId="17EB0329">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联系电话：；</w:t>
      </w:r>
    </w:p>
    <w:p w14:paraId="4EC05752">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电子信箱：；</w:t>
      </w:r>
    </w:p>
    <w:p w14:paraId="14D9EE62">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通信地址：。</w:t>
      </w:r>
    </w:p>
    <w:p w14:paraId="27F13BC7">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1.1.3 </w:t>
      </w:r>
      <w:r>
        <w:rPr>
          <w:rFonts w:hint="eastAsia" w:ascii="宋体" w:hAnsi="宋体"/>
          <w:color w:val="auto"/>
          <w:sz w:val="21"/>
          <w:szCs w:val="21"/>
          <w:highlight w:val="none"/>
        </w:rPr>
        <w:t>工程和设备</w:t>
      </w:r>
    </w:p>
    <w:p w14:paraId="4C332262">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1.1.3.</w:t>
      </w:r>
      <w:r>
        <w:rPr>
          <w:rFonts w:hint="eastAsia" w:ascii="宋体" w:hAnsi="宋体"/>
          <w:color w:val="auto"/>
          <w:sz w:val="21"/>
          <w:szCs w:val="21"/>
          <w:highlight w:val="none"/>
        </w:rPr>
        <w:t>7作为施工现场组成部分的其他场所包括：</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12DD1804">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1.1.3.</w:t>
      </w:r>
      <w:r>
        <w:rPr>
          <w:rFonts w:hint="eastAsia" w:ascii="宋体" w:hAnsi="宋体"/>
          <w:color w:val="auto"/>
          <w:sz w:val="21"/>
          <w:szCs w:val="21"/>
          <w:highlight w:val="none"/>
        </w:rPr>
        <w:t>9永久占地包括：</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77BD9303">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1.1.3.</w:t>
      </w:r>
      <w:r>
        <w:rPr>
          <w:rFonts w:hint="eastAsia" w:ascii="宋体" w:hAnsi="宋体"/>
          <w:color w:val="auto"/>
          <w:sz w:val="21"/>
          <w:szCs w:val="21"/>
          <w:highlight w:val="none"/>
        </w:rPr>
        <w:t>10临时占地包括：</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2328273D">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3法律</w:t>
      </w:r>
    </w:p>
    <w:p w14:paraId="1DDDC7AA">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适用于合同的其他规范性文件：</w:t>
      </w:r>
      <w:r>
        <w:rPr>
          <w:rFonts w:hint="eastAsia" w:ascii="MingLiU_HKSCS" w:hAnsi="MingLiU_HKSCS" w:cs="MingLiU_HKSCS"/>
          <w:color w:val="auto"/>
          <w:sz w:val="21"/>
          <w:szCs w:val="21"/>
          <w:highlight w:val="none"/>
          <w:u w:val="single"/>
        </w:rPr>
        <w:t>《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rPr>
          <w:rFonts w:hint="eastAsia" w:ascii="MingLiU_HKSCS" w:hAnsi="MingLiU_HKSCS" w:cs="MingLiU_HKSCS"/>
          <w:color w:val="auto"/>
          <w:sz w:val="21"/>
          <w:szCs w:val="21"/>
          <w:highlight w:val="none"/>
        </w:rPr>
        <w:t>。</w:t>
      </w:r>
    </w:p>
    <w:p w14:paraId="066208A0">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4标准和规范</w:t>
      </w:r>
    </w:p>
    <w:p w14:paraId="2D7DC381">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4</w:t>
      </w:r>
      <w:r>
        <w:rPr>
          <w:rFonts w:ascii="宋体" w:hAnsi="宋体"/>
          <w:color w:val="auto"/>
          <w:sz w:val="21"/>
          <w:szCs w:val="21"/>
          <w:highlight w:val="none"/>
        </w:rPr>
        <w:t>.</w:t>
      </w:r>
      <w:r>
        <w:rPr>
          <w:rFonts w:hint="eastAsia" w:ascii="宋体" w:hAnsi="宋体"/>
          <w:color w:val="auto"/>
          <w:sz w:val="21"/>
          <w:szCs w:val="21"/>
          <w:highlight w:val="none"/>
        </w:rPr>
        <w:t>1适用于工程的标准规范包括：</w:t>
      </w:r>
      <w:r>
        <w:rPr>
          <w:rFonts w:hint="eastAsia" w:ascii="宋体" w:hAnsi="宋体" w:cs="MingLiU_HKSCS"/>
          <w:color w:val="auto"/>
          <w:sz w:val="21"/>
          <w:szCs w:val="21"/>
          <w:highlight w:val="none"/>
          <w:u w:val="single"/>
        </w:rPr>
        <w:t>现行有关房屋建筑和市政工程的标准和规范、规程；</w:t>
      </w:r>
      <w:r>
        <w:rPr>
          <w:rFonts w:hint="eastAsia" w:ascii="MingLiU_HKSCS" w:hAnsi="MingLiU_HKSCS" w:cs="MingLiU_HKSCS"/>
          <w:color w:val="auto"/>
          <w:sz w:val="21"/>
          <w:szCs w:val="21"/>
          <w:highlight w:val="none"/>
          <w:u w:val="single"/>
        </w:rPr>
        <w:t>质量验收评定标准，施工图纸以及设计文件所载明的标准、规范、规程等</w:t>
      </w:r>
      <w:r>
        <w:rPr>
          <w:rFonts w:hint="eastAsia" w:ascii="MingLiU_HKSCS" w:hAnsi="MingLiU_HKSCS" w:cs="MingLiU_HKSCS"/>
          <w:color w:val="auto"/>
          <w:sz w:val="21"/>
          <w:szCs w:val="21"/>
          <w:highlight w:val="none"/>
        </w:rPr>
        <w:t>。</w:t>
      </w:r>
    </w:p>
    <w:p w14:paraId="4F4324E8">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4</w:t>
      </w:r>
      <w:r>
        <w:rPr>
          <w:rFonts w:ascii="宋体" w:hAnsi="宋体"/>
          <w:color w:val="auto"/>
          <w:sz w:val="21"/>
          <w:szCs w:val="21"/>
          <w:highlight w:val="none"/>
        </w:rPr>
        <w:t>.</w:t>
      </w:r>
      <w:r>
        <w:rPr>
          <w:rFonts w:hint="eastAsia" w:ascii="宋体" w:hAnsi="宋体"/>
          <w:color w:val="auto"/>
          <w:sz w:val="21"/>
          <w:szCs w:val="21"/>
          <w:highlight w:val="none"/>
        </w:rPr>
        <w:t>2发包方提供国外标准、规范的名称：</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35E861BD">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发包方提供国外标准、规范的份数：</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6C948039">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发包方提供国外标准、规范的名称：</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024A6B34">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4</w:t>
      </w:r>
      <w:r>
        <w:rPr>
          <w:rFonts w:ascii="宋体" w:hAnsi="宋体"/>
          <w:color w:val="auto"/>
          <w:sz w:val="21"/>
          <w:szCs w:val="21"/>
          <w:highlight w:val="none"/>
        </w:rPr>
        <w:t>.3</w:t>
      </w:r>
      <w:r>
        <w:rPr>
          <w:rFonts w:hint="eastAsia" w:ascii="宋体" w:hAnsi="宋体"/>
          <w:color w:val="auto"/>
          <w:sz w:val="21"/>
          <w:szCs w:val="21"/>
          <w:highlight w:val="none"/>
        </w:rPr>
        <w:t>发包方对工程的技术标准和功能要求的特殊要求：</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714FBBA5">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5合同文件的优先顺序</w:t>
      </w:r>
    </w:p>
    <w:p w14:paraId="2F176960">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合同文件组成及优先顺序为：</w:t>
      </w:r>
      <w:r>
        <w:rPr>
          <w:rFonts w:hint="eastAsia" w:ascii="宋体" w:hAnsi="宋体"/>
          <w:color w:val="auto"/>
          <w:sz w:val="21"/>
          <w:szCs w:val="21"/>
          <w:highlight w:val="none"/>
          <w:u w:val="single"/>
          <w:lang w:val="en-US" w:eastAsia="zh-CN"/>
        </w:rPr>
        <w:t>见合同协议书</w:t>
      </w:r>
      <w:r>
        <w:rPr>
          <w:rFonts w:hint="eastAsia" w:ascii="宋体" w:hAnsi="宋体"/>
          <w:color w:val="auto"/>
          <w:sz w:val="21"/>
          <w:szCs w:val="21"/>
          <w:highlight w:val="none"/>
        </w:rPr>
        <w:t>。</w:t>
      </w:r>
    </w:p>
    <w:p w14:paraId="2519D9B1">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6图纸和承包方文件</w:t>
      </w:r>
    </w:p>
    <w:p w14:paraId="0EC7D956">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6</w:t>
      </w:r>
      <w:r>
        <w:rPr>
          <w:rFonts w:ascii="宋体" w:hAnsi="宋体"/>
          <w:color w:val="auto"/>
          <w:sz w:val="21"/>
          <w:szCs w:val="21"/>
          <w:highlight w:val="none"/>
        </w:rPr>
        <w:t xml:space="preserve">.1 </w:t>
      </w:r>
      <w:r>
        <w:rPr>
          <w:rFonts w:hint="eastAsia" w:ascii="宋体" w:hAnsi="宋体"/>
          <w:color w:val="auto"/>
          <w:sz w:val="21"/>
          <w:szCs w:val="21"/>
          <w:highlight w:val="none"/>
        </w:rPr>
        <w:t>图纸的提供</w:t>
      </w:r>
    </w:p>
    <w:p w14:paraId="49D44EAB">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向承包方提供图纸的期限：</w:t>
      </w:r>
      <w:r>
        <w:rPr>
          <w:rFonts w:hint="eastAsia" w:ascii="MingLiU_HKSCS" w:hAnsi="MingLiU_HKSCS" w:cs="MingLiU_HKSCS"/>
          <w:color w:val="auto"/>
          <w:sz w:val="21"/>
          <w:szCs w:val="21"/>
          <w:highlight w:val="none"/>
          <w:u w:val="single"/>
        </w:rPr>
        <w:t xml:space="preserve">  </w:t>
      </w:r>
      <w:r>
        <w:rPr>
          <w:rFonts w:hint="eastAsia" w:ascii="MingLiU_HKSCS" w:hAnsi="MingLiU_HKSCS" w:cs="MingLiU_HKSCS"/>
          <w:color w:val="auto"/>
          <w:sz w:val="21"/>
          <w:szCs w:val="21"/>
          <w:highlight w:val="none"/>
          <w:u w:val="single"/>
          <w:lang w:val="en-US" w:eastAsia="zh-CN"/>
        </w:rPr>
        <w:t>/</w:t>
      </w:r>
      <w:r>
        <w:rPr>
          <w:rFonts w:hint="eastAsia" w:ascii="MingLiU_HKSCS" w:hAnsi="MingLiU_HKSCS" w:cs="MingLiU_HKSCS"/>
          <w:color w:val="auto"/>
          <w:sz w:val="21"/>
          <w:szCs w:val="21"/>
          <w:highlight w:val="none"/>
          <w:u w:val="single"/>
        </w:rPr>
        <w:t xml:space="preserve">   </w:t>
      </w:r>
      <w:r>
        <w:rPr>
          <w:rFonts w:hint="eastAsia" w:ascii="宋体" w:hAnsi="宋体"/>
          <w:color w:val="auto"/>
          <w:sz w:val="21"/>
          <w:szCs w:val="21"/>
          <w:highlight w:val="none"/>
        </w:rPr>
        <w:t>；</w:t>
      </w:r>
    </w:p>
    <w:p w14:paraId="7A823C05">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向承包方提供图纸的数量：</w:t>
      </w:r>
      <w:r>
        <w:rPr>
          <w:rFonts w:hint="eastAsia" w:ascii="宋体" w:hAnsi="宋体"/>
          <w:color w:val="auto"/>
          <w:sz w:val="21"/>
          <w:szCs w:val="21"/>
          <w:highlight w:val="none"/>
          <w:u w:val="single"/>
          <w:lang w:val="en-US" w:eastAsia="zh-CN"/>
        </w:rPr>
        <w:t>/</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418A0442">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向承包方提供图纸的内容：</w:t>
      </w:r>
      <w:r>
        <w:rPr>
          <w:rFonts w:hint="eastAsia" w:ascii="MingLiU_HKSCS" w:hAnsi="MingLiU_HKSCS" w:cs="MingLiU_HKSCS"/>
          <w:color w:val="auto"/>
          <w:sz w:val="21"/>
          <w:szCs w:val="21"/>
          <w:highlight w:val="none"/>
          <w:u w:val="single"/>
        </w:rPr>
        <w:t xml:space="preserve"> </w:t>
      </w:r>
      <w:r>
        <w:rPr>
          <w:rFonts w:hint="eastAsia" w:ascii="MingLiU_HKSCS" w:hAnsi="MingLiU_HKSCS" w:cs="MingLiU_HKSCS"/>
          <w:color w:val="auto"/>
          <w:sz w:val="21"/>
          <w:szCs w:val="21"/>
          <w:highlight w:val="none"/>
          <w:u w:val="single"/>
          <w:lang w:val="en-US" w:eastAsia="zh-CN"/>
        </w:rPr>
        <w:t>/</w:t>
      </w:r>
      <w:r>
        <w:rPr>
          <w:rFonts w:hint="eastAsia" w:ascii="宋体" w:hAnsi="宋体"/>
          <w:color w:val="auto"/>
          <w:sz w:val="21"/>
          <w:szCs w:val="21"/>
          <w:highlight w:val="none"/>
        </w:rPr>
        <w:t>。</w:t>
      </w:r>
    </w:p>
    <w:p w14:paraId="31AF5D31">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6</w:t>
      </w:r>
      <w:r>
        <w:rPr>
          <w:rFonts w:ascii="宋体" w:hAnsi="宋体"/>
          <w:color w:val="auto"/>
          <w:sz w:val="21"/>
          <w:szCs w:val="21"/>
          <w:highlight w:val="none"/>
        </w:rPr>
        <w:t>.</w:t>
      </w:r>
      <w:r>
        <w:rPr>
          <w:rFonts w:hint="eastAsia" w:ascii="宋体" w:hAnsi="宋体"/>
          <w:color w:val="auto"/>
          <w:sz w:val="21"/>
          <w:szCs w:val="21"/>
          <w:highlight w:val="none"/>
        </w:rPr>
        <w:t>4承包方文件</w:t>
      </w:r>
    </w:p>
    <w:p w14:paraId="4E3CBFE9">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需要由承包方提供的文件，包括：</w:t>
      </w:r>
      <w:r>
        <w:rPr>
          <w:rFonts w:hint="eastAsia" w:ascii="宋体" w:hAnsi="宋体"/>
          <w:color w:val="auto"/>
          <w:sz w:val="21"/>
          <w:szCs w:val="21"/>
          <w:highlight w:val="none"/>
          <w:u w:val="single"/>
        </w:rPr>
        <w:t>施工组织设计方案（包括但不限于质量控制、进度控制、施工安全管理、文明施工管理、施工测量控制、施工人员安排及管理架构、施工材料设备进场计划</w:t>
      </w:r>
      <w:r>
        <w:rPr>
          <w:rFonts w:hint="eastAsia" w:ascii="宋体" w:hAnsi="宋体" w:cs="宋体"/>
          <w:color w:val="auto"/>
          <w:sz w:val="21"/>
          <w:szCs w:val="21"/>
          <w:highlight w:val="none"/>
          <w:u w:val="single"/>
        </w:rPr>
        <w:t>以及材料送检专项方案，送检计划</w:t>
      </w:r>
      <w:r>
        <w:rPr>
          <w:rFonts w:hint="eastAsia" w:ascii="宋体" w:hAnsi="宋体"/>
          <w:color w:val="auto"/>
          <w:sz w:val="21"/>
          <w:szCs w:val="21"/>
          <w:highlight w:val="none"/>
          <w:u w:val="single"/>
        </w:rPr>
        <w:t>、成品保护措施等）</w:t>
      </w:r>
      <w:r>
        <w:rPr>
          <w:rFonts w:hint="eastAsia" w:ascii="宋体" w:hAnsi="宋体" w:cs="MingLiU_HKSCS"/>
          <w:color w:val="auto"/>
          <w:sz w:val="21"/>
          <w:szCs w:val="21"/>
          <w:highlight w:val="none"/>
        </w:rPr>
        <w:t>；</w:t>
      </w:r>
    </w:p>
    <w:p w14:paraId="7FF6F7F6">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承包方提供的文件的期限为：</w:t>
      </w:r>
      <w:r>
        <w:rPr>
          <w:rFonts w:hint="eastAsia" w:ascii="MingLiU_HKSCS" w:hAnsi="MingLiU_HKSCS" w:cs="MingLiU_HKSCS"/>
          <w:color w:val="auto"/>
          <w:sz w:val="21"/>
          <w:szCs w:val="21"/>
          <w:highlight w:val="none"/>
          <w:u w:val="single"/>
        </w:rPr>
        <w:t>本合同签订之日起</w:t>
      </w:r>
      <w:r>
        <w:rPr>
          <w:rFonts w:hint="eastAsia" w:ascii="宋体" w:hAnsi="宋体"/>
          <w:color w:val="auto"/>
          <w:sz w:val="21"/>
          <w:szCs w:val="21"/>
          <w:highlight w:val="none"/>
          <w:u w:val="single"/>
        </w:rPr>
        <w:t>1</w:t>
      </w:r>
      <w:r>
        <w:rPr>
          <w:rFonts w:ascii="宋体" w:hAnsi="宋体"/>
          <w:color w:val="auto"/>
          <w:sz w:val="21"/>
          <w:szCs w:val="21"/>
          <w:highlight w:val="none"/>
          <w:u w:val="single"/>
        </w:rPr>
        <w:t>5</w:t>
      </w:r>
      <w:r>
        <w:rPr>
          <w:rFonts w:hint="eastAsia" w:ascii="MingLiU_HKSCS" w:hAnsi="MingLiU_HKSCS" w:cs="MingLiU_HKSCS"/>
          <w:color w:val="auto"/>
          <w:sz w:val="21"/>
          <w:szCs w:val="21"/>
          <w:highlight w:val="none"/>
          <w:u w:val="single"/>
        </w:rPr>
        <w:t>日历天内提供</w:t>
      </w:r>
      <w:r>
        <w:rPr>
          <w:rFonts w:hint="eastAsia" w:ascii="宋体" w:hAnsi="宋体"/>
          <w:color w:val="auto"/>
          <w:sz w:val="21"/>
          <w:szCs w:val="21"/>
          <w:highlight w:val="none"/>
        </w:rPr>
        <w:t>；</w:t>
      </w:r>
    </w:p>
    <w:p w14:paraId="38C8C57E">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承包方提供的文件的数量为：</w:t>
      </w:r>
      <w:r>
        <w:rPr>
          <w:rFonts w:hint="eastAsia" w:ascii="MingLiU_HKSCS" w:hAnsi="MingLiU_HKSCS" w:cs="MingLiU_HKSCS"/>
          <w:color w:val="auto"/>
          <w:sz w:val="21"/>
          <w:szCs w:val="21"/>
          <w:highlight w:val="none"/>
          <w:u w:val="single"/>
        </w:rPr>
        <w:t>叁套</w:t>
      </w:r>
      <w:r>
        <w:rPr>
          <w:rFonts w:hint="eastAsia" w:ascii="宋体" w:hAnsi="宋体"/>
          <w:color w:val="auto"/>
          <w:sz w:val="21"/>
          <w:szCs w:val="21"/>
          <w:highlight w:val="none"/>
        </w:rPr>
        <w:t>；</w:t>
      </w:r>
    </w:p>
    <w:p w14:paraId="552A8A97">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承包方提供的文件的形式为：</w:t>
      </w:r>
      <w:r>
        <w:rPr>
          <w:rFonts w:hint="eastAsia" w:ascii="MingLiU_HKSCS" w:hAnsi="MingLiU_HKSCS" w:cs="MingLiU_HKSCS"/>
          <w:color w:val="auto"/>
          <w:sz w:val="21"/>
          <w:szCs w:val="21"/>
          <w:highlight w:val="none"/>
          <w:u w:val="single"/>
        </w:rPr>
        <w:t xml:space="preserve"> 纸质书面材料并签字盖章 </w:t>
      </w:r>
      <w:r>
        <w:rPr>
          <w:rFonts w:hint="eastAsia" w:ascii="宋体" w:hAnsi="宋体"/>
          <w:color w:val="auto"/>
          <w:sz w:val="21"/>
          <w:szCs w:val="21"/>
          <w:highlight w:val="none"/>
        </w:rPr>
        <w:t>；</w:t>
      </w:r>
    </w:p>
    <w:p w14:paraId="5331A12A">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发包方审批承包方文件的期限：</w:t>
      </w:r>
      <w:r>
        <w:rPr>
          <w:rFonts w:hint="eastAsia" w:ascii="宋体" w:hAnsi="宋体"/>
          <w:color w:val="auto"/>
          <w:sz w:val="21"/>
          <w:szCs w:val="21"/>
          <w:highlight w:val="none"/>
          <w:u w:val="single"/>
        </w:rPr>
        <w:t xml:space="preserve"> 7 </w:t>
      </w:r>
      <w:r>
        <w:rPr>
          <w:rFonts w:hint="eastAsia" w:ascii="MingLiU_HKSCS" w:hAnsi="MingLiU_HKSCS" w:cs="MingLiU_HKSCS"/>
          <w:color w:val="auto"/>
          <w:sz w:val="21"/>
          <w:szCs w:val="21"/>
          <w:highlight w:val="none"/>
          <w:u w:val="single"/>
        </w:rPr>
        <w:t xml:space="preserve">天  </w:t>
      </w:r>
      <w:r>
        <w:rPr>
          <w:rFonts w:hint="eastAsia" w:ascii="宋体" w:hAnsi="宋体"/>
          <w:color w:val="auto"/>
          <w:sz w:val="21"/>
          <w:szCs w:val="21"/>
          <w:highlight w:val="none"/>
        </w:rPr>
        <w:t>。</w:t>
      </w:r>
    </w:p>
    <w:p w14:paraId="10FF9587">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6</w:t>
      </w:r>
      <w:r>
        <w:rPr>
          <w:rFonts w:ascii="宋体" w:hAnsi="宋体"/>
          <w:color w:val="auto"/>
          <w:sz w:val="21"/>
          <w:szCs w:val="21"/>
          <w:highlight w:val="none"/>
        </w:rPr>
        <w:t>.</w:t>
      </w:r>
      <w:r>
        <w:rPr>
          <w:rFonts w:hint="eastAsia" w:ascii="宋体" w:hAnsi="宋体"/>
          <w:color w:val="auto"/>
          <w:sz w:val="21"/>
          <w:szCs w:val="21"/>
          <w:highlight w:val="none"/>
        </w:rPr>
        <w:t>5现场图纸准备</w:t>
      </w:r>
    </w:p>
    <w:p w14:paraId="4923A5CF">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关于现场图纸准备的约定：</w:t>
      </w:r>
      <w:r>
        <w:rPr>
          <w:rFonts w:hint="eastAsia" w:ascii="MingLiU_HKSCS" w:hAnsi="MingLiU_HKSCS" w:cs="MingLiU_HKSCS"/>
          <w:color w:val="auto"/>
          <w:sz w:val="21"/>
          <w:szCs w:val="21"/>
          <w:highlight w:val="none"/>
          <w:u w:val="single"/>
          <w:lang w:val="en-US" w:eastAsia="zh-CN"/>
        </w:rPr>
        <w:t>/</w:t>
      </w:r>
      <w:r>
        <w:rPr>
          <w:rFonts w:hint="eastAsia" w:ascii="宋体" w:hAnsi="宋体"/>
          <w:color w:val="auto"/>
          <w:sz w:val="21"/>
          <w:szCs w:val="21"/>
          <w:highlight w:val="none"/>
        </w:rPr>
        <w:t>。</w:t>
      </w:r>
    </w:p>
    <w:p w14:paraId="460588F4">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7联络</w:t>
      </w:r>
    </w:p>
    <w:p w14:paraId="4936FA22">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7</w:t>
      </w:r>
      <w:r>
        <w:rPr>
          <w:rFonts w:ascii="宋体" w:hAnsi="宋体"/>
          <w:color w:val="auto"/>
          <w:sz w:val="21"/>
          <w:szCs w:val="21"/>
          <w:highlight w:val="none"/>
        </w:rPr>
        <w:t>.1</w:t>
      </w:r>
      <w:r>
        <w:rPr>
          <w:rFonts w:hint="eastAsia" w:ascii="宋体" w:hAnsi="宋体"/>
          <w:color w:val="auto"/>
          <w:sz w:val="21"/>
          <w:szCs w:val="21"/>
          <w:highlight w:val="none"/>
        </w:rPr>
        <w:t>发包方和承包方应当在</w:t>
      </w:r>
      <w:r>
        <w:rPr>
          <w:rFonts w:ascii="宋体" w:hAnsi="宋体"/>
          <w:color w:val="auto"/>
          <w:sz w:val="21"/>
          <w:szCs w:val="21"/>
          <w:highlight w:val="none"/>
          <w:u w:val="single"/>
        </w:rPr>
        <w:t xml:space="preserve"> 5 </w:t>
      </w:r>
      <w:r>
        <w:rPr>
          <w:rFonts w:hint="eastAsia" w:ascii="宋体" w:hAnsi="宋体"/>
          <w:color w:val="auto"/>
          <w:sz w:val="21"/>
          <w:szCs w:val="21"/>
          <w:highlight w:val="none"/>
        </w:rPr>
        <w:t>天内将与合同有关的通知、批准、证明、证书、指示、指令、要求、请求、同意、意见、确定和决定等书面函件送达对方当事人。</w:t>
      </w:r>
    </w:p>
    <w:p w14:paraId="2D57C9FF">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7</w:t>
      </w:r>
      <w:r>
        <w:rPr>
          <w:rFonts w:ascii="宋体" w:hAnsi="宋体"/>
          <w:color w:val="auto"/>
          <w:sz w:val="21"/>
          <w:szCs w:val="21"/>
          <w:highlight w:val="none"/>
        </w:rPr>
        <w:t xml:space="preserve">.2 </w:t>
      </w:r>
      <w:r>
        <w:rPr>
          <w:rFonts w:hint="eastAsia" w:ascii="宋体" w:hAnsi="宋体"/>
          <w:color w:val="auto"/>
          <w:sz w:val="21"/>
          <w:szCs w:val="21"/>
          <w:highlight w:val="none"/>
        </w:rPr>
        <w:t>发包方接收文件的地点：</w:t>
      </w:r>
      <w:r>
        <w:rPr>
          <w:rFonts w:hint="eastAsia" w:ascii="MingLiU_HKSCS" w:hAnsi="MingLiU_HKSCS" w:cs="MingLiU_HKSCS"/>
          <w:color w:val="auto"/>
          <w:sz w:val="21"/>
          <w:szCs w:val="21"/>
          <w:highlight w:val="none"/>
          <w:u w:val="single"/>
        </w:rPr>
        <w:t>施工现场或发包方办公室</w:t>
      </w:r>
      <w:r>
        <w:rPr>
          <w:rFonts w:hint="eastAsia" w:ascii="宋体" w:hAnsi="宋体"/>
          <w:color w:val="auto"/>
          <w:sz w:val="21"/>
          <w:szCs w:val="21"/>
          <w:highlight w:val="none"/>
        </w:rPr>
        <w:t>；</w:t>
      </w:r>
    </w:p>
    <w:p w14:paraId="2990EA25">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发包方指定的接收人为：</w:t>
      </w:r>
      <w:r>
        <w:rPr>
          <w:rFonts w:hint="eastAsia" w:ascii="MingLiU_HKSCS" w:hAnsi="MingLiU_HKSCS" w:cs="MingLiU_HKSCS"/>
          <w:color w:val="auto"/>
          <w:sz w:val="21"/>
          <w:szCs w:val="21"/>
          <w:highlight w:val="none"/>
          <w:u w:val="single"/>
        </w:rPr>
        <w:t>发包方现场代表</w:t>
      </w:r>
      <w:r>
        <w:rPr>
          <w:rFonts w:hint="eastAsia" w:ascii="宋体" w:hAnsi="宋体"/>
          <w:color w:val="auto"/>
          <w:sz w:val="21"/>
          <w:szCs w:val="21"/>
          <w:highlight w:val="none"/>
        </w:rPr>
        <w:t>。</w:t>
      </w:r>
    </w:p>
    <w:p w14:paraId="2F480DB7">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承包方接收文件的地点：</w:t>
      </w:r>
      <w:r>
        <w:rPr>
          <w:rFonts w:hint="eastAsia" w:ascii="MingLiU_HKSCS" w:hAnsi="MingLiU_HKSCS" w:cs="MingLiU_HKSCS"/>
          <w:color w:val="auto"/>
          <w:sz w:val="21"/>
          <w:szCs w:val="21"/>
          <w:highlight w:val="none"/>
          <w:u w:val="single"/>
        </w:rPr>
        <w:t>施工现场或发包方办公室</w:t>
      </w:r>
      <w:r>
        <w:rPr>
          <w:rFonts w:hint="eastAsia" w:ascii="宋体" w:hAnsi="宋体"/>
          <w:color w:val="auto"/>
          <w:sz w:val="21"/>
          <w:szCs w:val="21"/>
          <w:highlight w:val="none"/>
        </w:rPr>
        <w:t>；</w:t>
      </w:r>
    </w:p>
    <w:p w14:paraId="7A115E40">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承包方指定的接收人为：</w:t>
      </w:r>
      <w:r>
        <w:rPr>
          <w:rFonts w:hint="eastAsia" w:ascii="MingLiU_HKSCS" w:hAnsi="MingLiU_HKSCS" w:cs="MingLiU_HKSCS"/>
          <w:color w:val="auto"/>
          <w:sz w:val="21"/>
          <w:szCs w:val="21"/>
          <w:highlight w:val="none"/>
          <w:u w:val="single"/>
        </w:rPr>
        <w:t>承包方项目经理</w:t>
      </w:r>
      <w:r>
        <w:rPr>
          <w:rFonts w:hint="eastAsia" w:ascii="宋体" w:hAnsi="宋体"/>
          <w:color w:val="auto"/>
          <w:sz w:val="21"/>
          <w:szCs w:val="21"/>
          <w:highlight w:val="none"/>
        </w:rPr>
        <w:t>。</w:t>
      </w:r>
    </w:p>
    <w:p w14:paraId="3F90D7DA">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监理人接收文件的地点：</w:t>
      </w:r>
      <w:r>
        <w:rPr>
          <w:rFonts w:hint="eastAsia" w:ascii="MingLiU_HKSCS" w:hAnsi="MingLiU_HKSCS" w:cs="MingLiU_HKSCS"/>
          <w:color w:val="auto"/>
          <w:sz w:val="21"/>
          <w:szCs w:val="21"/>
          <w:highlight w:val="none"/>
          <w:u w:val="single"/>
        </w:rPr>
        <w:t>施工现场或发包方办公室</w:t>
      </w:r>
      <w:r>
        <w:rPr>
          <w:rFonts w:hint="eastAsia" w:ascii="宋体" w:hAnsi="宋体"/>
          <w:color w:val="auto"/>
          <w:sz w:val="21"/>
          <w:szCs w:val="21"/>
          <w:highlight w:val="none"/>
        </w:rPr>
        <w:t>；</w:t>
      </w:r>
    </w:p>
    <w:p w14:paraId="124C34D4">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监理人指定的接收人为：</w:t>
      </w:r>
      <w:r>
        <w:rPr>
          <w:rFonts w:hint="eastAsia" w:ascii="MingLiU_HKSCS" w:hAnsi="MingLiU_HKSCS" w:cs="MingLiU_HKSCS"/>
          <w:color w:val="auto"/>
          <w:sz w:val="21"/>
          <w:szCs w:val="21"/>
          <w:highlight w:val="none"/>
          <w:u w:val="single"/>
        </w:rPr>
        <w:t>监理人总监理工程师</w:t>
      </w:r>
      <w:r>
        <w:rPr>
          <w:rFonts w:hint="eastAsia" w:ascii="宋体" w:hAnsi="宋体"/>
          <w:color w:val="auto"/>
          <w:sz w:val="21"/>
          <w:szCs w:val="21"/>
          <w:highlight w:val="none"/>
        </w:rPr>
        <w:t>。</w:t>
      </w:r>
    </w:p>
    <w:p w14:paraId="7C453645">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10交通运输</w:t>
      </w:r>
    </w:p>
    <w:p w14:paraId="1509E368">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10</w:t>
      </w:r>
      <w:r>
        <w:rPr>
          <w:rFonts w:ascii="宋体" w:hAnsi="宋体"/>
          <w:color w:val="auto"/>
          <w:sz w:val="21"/>
          <w:szCs w:val="21"/>
          <w:highlight w:val="none"/>
        </w:rPr>
        <w:t xml:space="preserve">.1 </w:t>
      </w:r>
      <w:r>
        <w:rPr>
          <w:rFonts w:hint="eastAsia" w:ascii="宋体" w:hAnsi="宋体"/>
          <w:color w:val="auto"/>
          <w:sz w:val="21"/>
          <w:szCs w:val="21"/>
          <w:highlight w:val="none"/>
        </w:rPr>
        <w:t>出入现场的权利</w:t>
      </w:r>
    </w:p>
    <w:p w14:paraId="6AA12516">
      <w:pPr>
        <w:pageBreakBefore w:val="0"/>
        <w:kinsoku/>
        <w:wordWrap/>
        <w:overflowPunct/>
        <w:topLinePunct w:val="0"/>
        <w:autoSpaceDE/>
        <w:autoSpaceDN/>
        <w:bidi w:val="0"/>
        <w:adjustRightInd/>
        <w:snapToGrid w:val="0"/>
        <w:spacing w:line="312" w:lineRule="auto"/>
        <w:ind w:firstLine="420"/>
        <w:textAlignment w:val="auto"/>
        <w:rPr>
          <w:rFonts w:ascii="MingLiU_HKSCS" w:hAnsi="MingLiU_HKSCS" w:cs="MingLiU_HKSCS"/>
          <w:color w:val="auto"/>
          <w:sz w:val="21"/>
          <w:szCs w:val="21"/>
          <w:highlight w:val="none"/>
          <w:u w:val="single"/>
        </w:rPr>
      </w:pPr>
      <w:r>
        <w:rPr>
          <w:rFonts w:hint="eastAsia" w:ascii="宋体" w:hAnsi="宋体"/>
          <w:color w:val="auto"/>
          <w:sz w:val="21"/>
          <w:szCs w:val="21"/>
          <w:highlight w:val="none"/>
        </w:rPr>
        <w:t>关于出入现场的权利的约定：</w:t>
      </w:r>
      <w:r>
        <w:rPr>
          <w:rFonts w:hint="eastAsia" w:ascii="MingLiU_HKSCS" w:hAnsi="MingLiU_HKSCS" w:cs="MingLiU_HKSCS"/>
          <w:color w:val="auto"/>
          <w:sz w:val="21"/>
          <w:szCs w:val="21"/>
          <w:highlight w:val="none"/>
          <w:u w:val="single"/>
        </w:rPr>
        <w:t>/</w:t>
      </w:r>
      <w:r>
        <w:rPr>
          <w:rFonts w:hint="eastAsia" w:ascii="宋体" w:hAnsi="宋体"/>
          <w:color w:val="auto"/>
          <w:sz w:val="21"/>
          <w:szCs w:val="21"/>
          <w:highlight w:val="none"/>
        </w:rPr>
        <w:t>。</w:t>
      </w:r>
    </w:p>
    <w:p w14:paraId="722DC4A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10</w:t>
      </w:r>
      <w:r>
        <w:rPr>
          <w:rFonts w:ascii="宋体" w:hAnsi="宋体"/>
          <w:color w:val="auto"/>
          <w:sz w:val="21"/>
          <w:szCs w:val="21"/>
          <w:highlight w:val="none"/>
        </w:rPr>
        <w:t>.</w:t>
      </w:r>
      <w:r>
        <w:rPr>
          <w:rFonts w:hint="eastAsia" w:ascii="宋体" w:hAnsi="宋体"/>
          <w:color w:val="auto"/>
          <w:sz w:val="21"/>
          <w:szCs w:val="21"/>
          <w:highlight w:val="none"/>
        </w:rPr>
        <w:t>3场内外交通</w:t>
      </w:r>
    </w:p>
    <w:p w14:paraId="4E4D25AE">
      <w:pPr>
        <w:pageBreakBefore w:val="0"/>
        <w:kinsoku/>
        <w:wordWrap/>
        <w:overflowPunct/>
        <w:topLinePunct w:val="0"/>
        <w:autoSpaceDE/>
        <w:autoSpaceDN/>
        <w:bidi w:val="0"/>
        <w:adjustRightInd/>
        <w:snapToGrid w:val="0"/>
        <w:spacing w:line="312" w:lineRule="auto"/>
        <w:ind w:firstLine="420"/>
        <w:jc w:val="left"/>
        <w:textAlignment w:val="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rPr>
        <w:t>关于场外交通和场内交通的边界的约定：</w:t>
      </w:r>
      <w:r>
        <w:rPr>
          <w:rFonts w:hint="eastAsia" w:ascii="宋体" w:hAnsi="宋体"/>
          <w:color w:val="auto"/>
          <w:sz w:val="21"/>
          <w:szCs w:val="21"/>
          <w:highlight w:val="none"/>
          <w:u w:val="single"/>
          <w:lang w:val="en-US" w:eastAsia="zh-CN"/>
        </w:rPr>
        <w:t xml:space="preserve"> 根据现场实际情况     </w:t>
      </w:r>
    </w:p>
    <w:p w14:paraId="0F9EDCD9">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关于发包方向承包方免费提供满足工程施工需要的场内道路和交通设施的约定：</w:t>
      </w:r>
      <w:r>
        <w:rPr>
          <w:rFonts w:hint="eastAsia" w:ascii="宋体" w:hAnsi="宋体"/>
          <w:color w:val="auto"/>
          <w:sz w:val="21"/>
          <w:szCs w:val="21"/>
          <w:highlight w:val="none"/>
          <w:u w:val="single"/>
          <w:lang w:val="en-US" w:eastAsia="zh-CN"/>
        </w:rPr>
        <w:t>/</w:t>
      </w:r>
      <w:r>
        <w:rPr>
          <w:rFonts w:hint="eastAsia" w:ascii="宋体" w:hAnsi="宋体"/>
          <w:color w:val="auto"/>
          <w:sz w:val="21"/>
          <w:szCs w:val="21"/>
          <w:highlight w:val="none"/>
        </w:rPr>
        <w:t>。</w:t>
      </w:r>
    </w:p>
    <w:p w14:paraId="6DC6CC27">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10</w:t>
      </w:r>
      <w:r>
        <w:rPr>
          <w:rFonts w:ascii="宋体" w:hAnsi="宋体"/>
          <w:color w:val="auto"/>
          <w:sz w:val="21"/>
          <w:szCs w:val="21"/>
          <w:highlight w:val="none"/>
        </w:rPr>
        <w:t>.</w:t>
      </w:r>
      <w:r>
        <w:rPr>
          <w:rFonts w:hint="eastAsia" w:ascii="宋体" w:hAnsi="宋体"/>
          <w:color w:val="auto"/>
          <w:sz w:val="21"/>
          <w:szCs w:val="21"/>
          <w:highlight w:val="none"/>
        </w:rPr>
        <w:t>4超大件和超重件的运输</w:t>
      </w:r>
    </w:p>
    <w:p w14:paraId="3A3846A4">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运输超大件或超重件所需的道路和桥梁临时加固改造费用和其他有关费用由</w:t>
      </w:r>
      <w:r>
        <w:rPr>
          <w:rFonts w:hint="eastAsia" w:ascii="宋体" w:hAnsi="宋体"/>
          <w:color w:val="auto"/>
          <w:sz w:val="21"/>
          <w:szCs w:val="21"/>
          <w:highlight w:val="none"/>
          <w:u w:val="single"/>
        </w:rPr>
        <w:t>承包方</w:t>
      </w:r>
      <w:r>
        <w:rPr>
          <w:rFonts w:hint="eastAsia" w:ascii="宋体" w:hAnsi="宋体"/>
          <w:color w:val="auto"/>
          <w:sz w:val="21"/>
          <w:szCs w:val="21"/>
          <w:highlight w:val="none"/>
        </w:rPr>
        <w:t>承担。</w:t>
      </w:r>
    </w:p>
    <w:p w14:paraId="4AE24671">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11知识产权</w:t>
      </w:r>
    </w:p>
    <w:p w14:paraId="1B54977B">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11</w:t>
      </w:r>
      <w:r>
        <w:rPr>
          <w:rFonts w:ascii="宋体" w:hAnsi="宋体"/>
          <w:color w:val="auto"/>
          <w:sz w:val="21"/>
          <w:szCs w:val="21"/>
          <w:highlight w:val="none"/>
        </w:rPr>
        <w:t>.1</w:t>
      </w:r>
      <w:r>
        <w:rPr>
          <w:rFonts w:hint="eastAsia" w:ascii="宋体" w:hAnsi="宋体"/>
          <w:color w:val="auto"/>
          <w:sz w:val="21"/>
          <w:szCs w:val="21"/>
          <w:highlight w:val="none"/>
        </w:rPr>
        <w:t>关于发包方提供给承包方的图纸、发包方为实施工程自行编制或委托编制的技术规范以及反映发包方关于合同要求或其他类似性质的文件的著作权的归属：</w:t>
      </w:r>
      <w:r>
        <w:rPr>
          <w:rFonts w:hint="eastAsia" w:ascii="MingLiU_HKSCS" w:hAnsi="MingLiU_HKSCS" w:cs="MingLiU_HKSCS"/>
          <w:color w:val="auto"/>
          <w:sz w:val="21"/>
          <w:szCs w:val="21"/>
          <w:highlight w:val="none"/>
          <w:u w:val="single"/>
        </w:rPr>
        <w:t>发包方</w:t>
      </w:r>
      <w:r>
        <w:rPr>
          <w:rFonts w:hint="eastAsia" w:ascii="宋体" w:hAnsi="宋体"/>
          <w:color w:val="auto"/>
          <w:sz w:val="21"/>
          <w:szCs w:val="21"/>
          <w:highlight w:val="none"/>
        </w:rPr>
        <w:t>。</w:t>
      </w:r>
    </w:p>
    <w:p w14:paraId="693E758B">
      <w:pPr>
        <w:pageBreakBefore w:val="0"/>
        <w:kinsoku/>
        <w:wordWrap/>
        <w:overflowPunct/>
        <w:topLinePunct w:val="0"/>
        <w:autoSpaceDE/>
        <w:autoSpaceDN/>
        <w:bidi w:val="0"/>
        <w:adjustRightInd/>
        <w:snapToGrid w:val="0"/>
        <w:spacing w:line="312" w:lineRule="auto"/>
        <w:ind w:left="682"/>
        <w:textAlignment w:val="auto"/>
        <w:rPr>
          <w:rFonts w:ascii="宋体" w:hAnsi="宋体"/>
          <w:color w:val="auto"/>
          <w:sz w:val="21"/>
          <w:szCs w:val="21"/>
          <w:highlight w:val="none"/>
          <w:u w:val="single"/>
        </w:rPr>
      </w:pPr>
      <w:r>
        <w:rPr>
          <w:rFonts w:hint="eastAsia" w:ascii="宋体" w:hAnsi="宋体"/>
          <w:color w:val="auto"/>
          <w:sz w:val="21"/>
          <w:szCs w:val="21"/>
          <w:highlight w:val="none"/>
        </w:rPr>
        <w:t>关于发包方提供的上述文件的使用限制的要求：</w:t>
      </w:r>
      <w:r>
        <w:rPr>
          <w:rFonts w:hint="eastAsia" w:ascii="宋体" w:hAnsi="宋体"/>
          <w:color w:val="auto"/>
          <w:sz w:val="21"/>
          <w:szCs w:val="21"/>
          <w:highlight w:val="none"/>
          <w:u w:val="single"/>
        </w:rPr>
        <w:t>承包方可以为实现合同目的而复制、</w:t>
      </w:r>
    </w:p>
    <w:p w14:paraId="116C7A6D">
      <w:pPr>
        <w:pageBreakBefore w:val="0"/>
        <w:kinsoku/>
        <w:wordWrap/>
        <w:overflowPunct/>
        <w:topLinePunct w:val="0"/>
        <w:autoSpaceDE/>
        <w:autoSpaceDN/>
        <w:bidi w:val="0"/>
        <w:adjustRightInd/>
        <w:snapToGrid w:val="0"/>
        <w:spacing w:line="312" w:lineRule="auto"/>
        <w:textAlignment w:val="auto"/>
        <w:rPr>
          <w:rFonts w:ascii="宋体" w:hAnsi="宋体"/>
          <w:color w:val="auto"/>
          <w:sz w:val="21"/>
          <w:szCs w:val="21"/>
          <w:highlight w:val="none"/>
        </w:rPr>
      </w:pPr>
      <w:r>
        <w:rPr>
          <w:rFonts w:hint="eastAsia" w:ascii="宋体" w:hAnsi="宋体"/>
          <w:color w:val="auto"/>
          <w:sz w:val="21"/>
          <w:szCs w:val="21"/>
          <w:highlight w:val="none"/>
          <w:u w:val="single"/>
        </w:rPr>
        <w:t>使用此类文件，但不能用于与合同无关的其他事项。未经发包方同意，承包方不得为了合同以外的目的而复制、使用上述文件或将之提供给任何第三方</w:t>
      </w:r>
      <w:r>
        <w:rPr>
          <w:rFonts w:hint="eastAsia" w:ascii="宋体" w:hAnsi="宋体"/>
          <w:color w:val="auto"/>
          <w:sz w:val="21"/>
          <w:szCs w:val="21"/>
          <w:highlight w:val="none"/>
        </w:rPr>
        <w:t>。</w:t>
      </w:r>
    </w:p>
    <w:p w14:paraId="20171E55">
      <w:pPr>
        <w:pageBreakBefore w:val="0"/>
        <w:kinsoku/>
        <w:wordWrap/>
        <w:overflowPunct/>
        <w:topLinePunct w:val="0"/>
        <w:autoSpaceDE/>
        <w:autoSpaceDN/>
        <w:bidi w:val="0"/>
        <w:adjustRightInd/>
        <w:snapToGrid w:val="0"/>
        <w:spacing w:line="312" w:lineRule="auto"/>
        <w:ind w:left="682"/>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11</w:t>
      </w:r>
      <w:r>
        <w:rPr>
          <w:rFonts w:ascii="宋体" w:hAnsi="宋体"/>
          <w:color w:val="auto"/>
          <w:sz w:val="21"/>
          <w:szCs w:val="21"/>
          <w:highlight w:val="none"/>
        </w:rPr>
        <w:t xml:space="preserve">.2 </w:t>
      </w:r>
      <w:r>
        <w:rPr>
          <w:rFonts w:hint="eastAsia" w:ascii="宋体" w:hAnsi="宋体"/>
          <w:color w:val="auto"/>
          <w:sz w:val="21"/>
          <w:szCs w:val="21"/>
          <w:highlight w:val="none"/>
        </w:rPr>
        <w:t>关于承包方为实施工程所编制文件的著作权的归属：</w:t>
      </w:r>
      <w:r>
        <w:rPr>
          <w:rFonts w:hint="eastAsia" w:ascii="宋体" w:hAnsi="宋体"/>
          <w:color w:val="auto"/>
          <w:sz w:val="21"/>
          <w:szCs w:val="21"/>
          <w:highlight w:val="none"/>
          <w:u w:val="single"/>
        </w:rPr>
        <w:t>发包方</w:t>
      </w:r>
      <w:r>
        <w:rPr>
          <w:rFonts w:hint="eastAsia" w:ascii="宋体" w:hAnsi="宋体"/>
          <w:color w:val="auto"/>
          <w:sz w:val="21"/>
          <w:szCs w:val="21"/>
          <w:highlight w:val="none"/>
        </w:rPr>
        <w:t>。</w:t>
      </w:r>
    </w:p>
    <w:p w14:paraId="50A836F4">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关于承包方提供的上述文件的使用限制的要求：</w:t>
      </w:r>
      <w:r>
        <w:rPr>
          <w:rFonts w:hint="eastAsia" w:ascii="MingLiU_HKSCS" w:hAnsi="MingLiU_HKSCS" w:cs="MingLiU_HKSCS"/>
          <w:color w:val="auto"/>
          <w:sz w:val="21"/>
          <w:szCs w:val="21"/>
          <w:highlight w:val="none"/>
          <w:u w:val="single"/>
        </w:rPr>
        <w:t>承包方可以为实现合同目的而复制、使用此类文件，但不能用于与合同无关的其他事项。未经发包方同意，承包方不得为了合同以外的目的而复制、使用上述文件或将之提供给任何第三方</w:t>
      </w:r>
      <w:r>
        <w:rPr>
          <w:rFonts w:hint="eastAsia" w:ascii="宋体" w:hAnsi="宋体"/>
          <w:color w:val="auto"/>
          <w:sz w:val="21"/>
          <w:szCs w:val="21"/>
          <w:highlight w:val="none"/>
        </w:rPr>
        <w:t>。</w:t>
      </w:r>
    </w:p>
    <w:p w14:paraId="3C881279">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11</w:t>
      </w:r>
      <w:r>
        <w:rPr>
          <w:rFonts w:ascii="宋体" w:hAnsi="宋体"/>
          <w:color w:val="auto"/>
          <w:sz w:val="21"/>
          <w:szCs w:val="21"/>
          <w:highlight w:val="none"/>
        </w:rPr>
        <w:t>.</w:t>
      </w:r>
      <w:r>
        <w:rPr>
          <w:rFonts w:hint="eastAsia" w:ascii="宋体" w:hAnsi="宋体"/>
          <w:color w:val="auto"/>
          <w:sz w:val="21"/>
          <w:szCs w:val="21"/>
          <w:highlight w:val="none"/>
        </w:rPr>
        <w:t>4承包方在施工过程中所采用的专利、专有技术、技术秘密的使用费的承担方式：</w:t>
      </w:r>
      <w:r>
        <w:rPr>
          <w:rFonts w:hint="eastAsia" w:ascii="MingLiU_HKSCS" w:hAnsi="MingLiU_HKSCS" w:cs="MingLiU_HKSCS"/>
          <w:color w:val="auto"/>
          <w:sz w:val="21"/>
          <w:szCs w:val="21"/>
          <w:highlight w:val="none"/>
          <w:u w:val="single"/>
        </w:rPr>
        <w:t>已包含在签约合同价中</w:t>
      </w:r>
      <w:r>
        <w:rPr>
          <w:rFonts w:hint="eastAsia" w:ascii="宋体" w:hAnsi="宋体"/>
          <w:color w:val="auto"/>
          <w:sz w:val="21"/>
          <w:szCs w:val="21"/>
          <w:highlight w:val="none"/>
        </w:rPr>
        <w:t>。</w:t>
      </w:r>
    </w:p>
    <w:p w14:paraId="35ED25E2">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13工程量清单错误的修正</w:t>
      </w:r>
    </w:p>
    <w:p w14:paraId="13A80710">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出现工程量清单错误时，是否调整合同价格：</w:t>
      </w:r>
      <w:r>
        <w:rPr>
          <w:rFonts w:hint="eastAsia" w:ascii="宋体" w:hAnsi="宋体"/>
          <w:color w:val="auto"/>
          <w:sz w:val="21"/>
          <w:szCs w:val="21"/>
          <w:highlight w:val="none"/>
          <w:u w:val="single"/>
        </w:rPr>
        <w:t>是</w:t>
      </w:r>
      <w:r>
        <w:rPr>
          <w:rFonts w:hint="eastAsia" w:ascii="宋体" w:hAnsi="宋体"/>
          <w:color w:val="auto"/>
          <w:sz w:val="21"/>
          <w:szCs w:val="21"/>
          <w:highlight w:val="none"/>
        </w:rPr>
        <w:t>。</w:t>
      </w:r>
    </w:p>
    <w:p w14:paraId="626A167B">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允许调整合同价格的工程量偏差范围：</w:t>
      </w:r>
      <w:r>
        <w:rPr>
          <w:rFonts w:hint="eastAsia" w:ascii="宋体" w:hAnsi="宋体"/>
          <w:color w:val="auto"/>
          <w:sz w:val="21"/>
          <w:szCs w:val="21"/>
          <w:highlight w:val="none"/>
          <w:u w:val="single"/>
        </w:rPr>
        <w:t>±15%。当工程量增加15%以上时，增加部分的工程量的综合单价应予以调低（超过增加部分工程量的综合单价*97%），当工程量减少15%以上时，减少后剩余部分的工程量的综合单价应予以调高（超过减少部分工程量的综合单价*103%）</w:t>
      </w:r>
      <w:r>
        <w:rPr>
          <w:rFonts w:hint="eastAsia" w:ascii="宋体" w:hAnsi="宋体"/>
          <w:color w:val="auto"/>
          <w:sz w:val="21"/>
          <w:szCs w:val="21"/>
          <w:highlight w:val="none"/>
        </w:rPr>
        <w:t>。</w:t>
      </w:r>
    </w:p>
    <w:p w14:paraId="12F91184">
      <w:pPr>
        <w:pStyle w:val="5"/>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2. </w:t>
      </w:r>
      <w:r>
        <w:rPr>
          <w:rFonts w:hint="eastAsia" w:ascii="宋体" w:hAnsi="宋体"/>
          <w:bCs w:val="0"/>
          <w:color w:val="auto"/>
          <w:sz w:val="21"/>
          <w:szCs w:val="21"/>
          <w:highlight w:val="none"/>
        </w:rPr>
        <w:t>发包方</w:t>
      </w:r>
    </w:p>
    <w:p w14:paraId="72E20DF5">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rPr>
        <w:t>2发包方代表</w:t>
      </w:r>
    </w:p>
    <w:p w14:paraId="657A4FB0">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发包方代表： ；</w:t>
      </w:r>
    </w:p>
    <w:p w14:paraId="6D14AB80">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姓名：；</w:t>
      </w:r>
    </w:p>
    <w:p w14:paraId="3FE45702">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身份证号：；</w:t>
      </w:r>
    </w:p>
    <w:p w14:paraId="36395C82">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职务：；</w:t>
      </w:r>
    </w:p>
    <w:p w14:paraId="77BE4509">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联系电话：；</w:t>
      </w:r>
    </w:p>
    <w:p w14:paraId="192125D3">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电子信箱：；</w:t>
      </w:r>
    </w:p>
    <w:p w14:paraId="37558C3E">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通信地址：。</w:t>
      </w:r>
    </w:p>
    <w:p w14:paraId="289BE34F">
      <w:pPr>
        <w:pageBreakBefore w:val="0"/>
        <w:kinsoku/>
        <w:wordWrap/>
        <w:overflowPunct/>
        <w:topLinePunct w:val="0"/>
        <w:autoSpaceDE/>
        <w:autoSpaceDN/>
        <w:bidi w:val="0"/>
        <w:adjustRightInd/>
        <w:snapToGrid w:val="0"/>
        <w:spacing w:line="312" w:lineRule="auto"/>
        <w:ind w:firstLine="420"/>
        <w:textAlignment w:val="auto"/>
        <w:rPr>
          <w:rFonts w:ascii="宋体" w:hAnsi="宋体"/>
          <w:b/>
          <w:color w:val="auto"/>
          <w:sz w:val="21"/>
          <w:szCs w:val="21"/>
          <w:highlight w:val="none"/>
        </w:rPr>
      </w:pPr>
      <w:r>
        <w:rPr>
          <w:rFonts w:hint="eastAsia" w:ascii="宋体" w:hAnsi="宋体"/>
          <w:color w:val="auto"/>
          <w:sz w:val="21"/>
          <w:szCs w:val="21"/>
          <w:highlight w:val="none"/>
        </w:rPr>
        <w:t>发包方对发包方代表的授权范围如下：</w:t>
      </w:r>
      <w:r>
        <w:rPr>
          <w:rFonts w:hint="eastAsia" w:ascii="宋体" w:hAnsi="宋体"/>
          <w:color w:val="auto"/>
          <w:sz w:val="21"/>
          <w:szCs w:val="21"/>
          <w:highlight w:val="none"/>
          <w:u w:val="single"/>
        </w:rPr>
        <w:t>工程价款洽商、索赔事项的处理、合同的变更等，需要在监理人的配合下完成，但需经发包人签字盖章后才能最终生效</w:t>
      </w:r>
      <w:r>
        <w:rPr>
          <w:rFonts w:hint="eastAsia" w:ascii="宋体" w:hAnsi="宋体"/>
          <w:color w:val="auto"/>
          <w:sz w:val="21"/>
          <w:szCs w:val="21"/>
          <w:highlight w:val="none"/>
        </w:rPr>
        <w:t>。</w:t>
      </w:r>
    </w:p>
    <w:p w14:paraId="30EF47AC">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rPr>
        <w:t>4施工现场、施工条件和基础资料的提供</w:t>
      </w:r>
    </w:p>
    <w:p w14:paraId="5FBBC485">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rPr>
        <w:t>4</w:t>
      </w:r>
      <w:r>
        <w:rPr>
          <w:rFonts w:ascii="宋体" w:hAnsi="宋体"/>
          <w:color w:val="auto"/>
          <w:sz w:val="21"/>
          <w:szCs w:val="21"/>
          <w:highlight w:val="none"/>
        </w:rPr>
        <w:t xml:space="preserve">.1 </w:t>
      </w:r>
      <w:r>
        <w:rPr>
          <w:rFonts w:hint="eastAsia" w:ascii="宋体" w:hAnsi="宋体"/>
          <w:color w:val="auto"/>
          <w:sz w:val="21"/>
          <w:szCs w:val="21"/>
          <w:highlight w:val="none"/>
        </w:rPr>
        <w:t>提供施工现场</w:t>
      </w:r>
    </w:p>
    <w:p w14:paraId="134944D2">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关于发包方移交施工现场的期限要求：</w:t>
      </w:r>
      <w:r>
        <w:rPr>
          <w:rFonts w:hint="eastAsia" w:ascii="MingLiU_HKSCS" w:hAnsi="MingLiU_HKSCS" w:cs="MingLiU_HKSCS"/>
          <w:color w:val="auto"/>
          <w:sz w:val="21"/>
          <w:szCs w:val="21"/>
          <w:highlight w:val="none"/>
          <w:u w:val="single"/>
        </w:rPr>
        <w:t>开工前壹周内</w:t>
      </w:r>
      <w:r>
        <w:rPr>
          <w:rFonts w:hint="eastAsia" w:ascii="宋体" w:hAnsi="宋体"/>
          <w:color w:val="auto"/>
          <w:sz w:val="21"/>
          <w:szCs w:val="21"/>
          <w:highlight w:val="none"/>
        </w:rPr>
        <w:t>。</w:t>
      </w:r>
    </w:p>
    <w:p w14:paraId="11858638">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rPr>
        <w:t>4</w:t>
      </w:r>
      <w:r>
        <w:rPr>
          <w:rFonts w:ascii="宋体" w:hAnsi="宋体"/>
          <w:color w:val="auto"/>
          <w:sz w:val="21"/>
          <w:szCs w:val="21"/>
          <w:highlight w:val="none"/>
        </w:rPr>
        <w:t xml:space="preserve">.2 </w:t>
      </w:r>
      <w:r>
        <w:rPr>
          <w:rFonts w:hint="eastAsia" w:ascii="宋体" w:hAnsi="宋体"/>
          <w:color w:val="auto"/>
          <w:sz w:val="21"/>
          <w:szCs w:val="21"/>
          <w:highlight w:val="none"/>
        </w:rPr>
        <w:t>提供施工条件</w:t>
      </w:r>
    </w:p>
    <w:p w14:paraId="0C4C6D54">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u w:val="single"/>
        </w:rPr>
      </w:pPr>
      <w:r>
        <w:rPr>
          <w:rFonts w:hint="eastAsia" w:ascii="宋体" w:hAnsi="宋体"/>
          <w:color w:val="auto"/>
          <w:sz w:val="21"/>
          <w:szCs w:val="21"/>
          <w:highlight w:val="none"/>
        </w:rPr>
        <w:t>关于发包方应负责提供施工所需要的条件，包括：</w:t>
      </w:r>
      <w:r>
        <w:rPr>
          <w:rFonts w:hint="eastAsia" w:ascii="宋体" w:hAnsi="宋体"/>
          <w:color w:val="auto"/>
          <w:sz w:val="21"/>
          <w:szCs w:val="21"/>
          <w:highlight w:val="none"/>
          <w:u w:val="single"/>
        </w:rPr>
        <w:t>配合协调处理施工现场周围地下管线和邻近建筑物、构筑物、古树名木的保护工作；提供有关基础资料</w:t>
      </w:r>
      <w:r>
        <w:rPr>
          <w:rFonts w:hint="eastAsia" w:ascii="宋体" w:hAnsi="宋体"/>
          <w:color w:val="auto"/>
          <w:sz w:val="21"/>
          <w:szCs w:val="21"/>
          <w:highlight w:val="none"/>
        </w:rPr>
        <w:t>。</w:t>
      </w:r>
      <w:r>
        <w:rPr>
          <w:rFonts w:hint="eastAsia" w:ascii="宋体" w:hAnsi="宋体"/>
          <w:color w:val="auto"/>
          <w:sz w:val="21"/>
          <w:szCs w:val="21"/>
          <w:highlight w:val="none"/>
          <w:u w:val="single"/>
        </w:rPr>
        <w:t>现场临时设施及材料堆放等场地承包人自行解决，发包人不参与协调或提供。发包人不提供水、电接入点，施工用水、用电接入费或自发电增加费由施工方承担，其他按招标文件执行。</w:t>
      </w:r>
    </w:p>
    <w:p w14:paraId="3B583BE3">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rPr>
        <w:t>5资金来源证明及支付担保</w:t>
      </w:r>
    </w:p>
    <w:p w14:paraId="7494B186">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发包方提供资金来源证明的期限要求：</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1D34A687">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发包方是否提供支付担保：</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73BD887C">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u w:val="single"/>
        </w:rPr>
      </w:pPr>
      <w:r>
        <w:rPr>
          <w:rFonts w:hint="eastAsia" w:ascii="宋体" w:hAnsi="宋体"/>
          <w:color w:val="auto"/>
          <w:sz w:val="21"/>
          <w:szCs w:val="21"/>
          <w:highlight w:val="none"/>
        </w:rPr>
        <w:t>发包方提供支付担保的形式：</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6A34AE08">
      <w:pPr>
        <w:pStyle w:val="5"/>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3. </w:t>
      </w:r>
      <w:r>
        <w:rPr>
          <w:rFonts w:hint="eastAsia" w:ascii="宋体" w:hAnsi="宋体"/>
          <w:bCs w:val="0"/>
          <w:color w:val="auto"/>
          <w:sz w:val="21"/>
          <w:szCs w:val="21"/>
          <w:highlight w:val="none"/>
        </w:rPr>
        <w:t>承包方</w:t>
      </w:r>
    </w:p>
    <w:p w14:paraId="73BFA573">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3.1 </w:t>
      </w:r>
      <w:r>
        <w:rPr>
          <w:rFonts w:hint="eastAsia" w:ascii="宋体" w:hAnsi="宋体"/>
          <w:color w:val="auto"/>
          <w:sz w:val="21"/>
          <w:szCs w:val="21"/>
          <w:highlight w:val="none"/>
        </w:rPr>
        <w:t>承包方的一般义务</w:t>
      </w:r>
    </w:p>
    <w:p w14:paraId="2B5D81FF">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（9）承包方提交的竣工资料的内容：</w:t>
      </w:r>
      <w:r>
        <w:rPr>
          <w:rFonts w:hint="eastAsia" w:ascii="宋体" w:hAnsi="宋体"/>
          <w:color w:val="auto"/>
          <w:sz w:val="21"/>
          <w:szCs w:val="21"/>
          <w:highlight w:val="none"/>
          <w:u w:val="single"/>
        </w:rPr>
        <w:t>按照法律法规和当地竣工验收备案部门的有关规定，完成竣工资料的立卷及归档。</w:t>
      </w:r>
    </w:p>
    <w:p w14:paraId="49A6B2F3">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承包方需要提交的竣工资料套数：</w:t>
      </w:r>
      <w:r>
        <w:rPr>
          <w:rFonts w:hint="eastAsia" w:ascii="宋体" w:hAnsi="宋体"/>
          <w:color w:val="auto"/>
          <w:sz w:val="21"/>
          <w:szCs w:val="21"/>
          <w:highlight w:val="none"/>
          <w:u w:val="single"/>
        </w:rPr>
        <w:t>按照法律法规和当地竣工验收备案部门的有关规定</w:t>
      </w:r>
      <w:r>
        <w:rPr>
          <w:rFonts w:hint="eastAsia" w:ascii="宋体" w:hAnsi="宋体"/>
          <w:color w:val="auto"/>
          <w:sz w:val="21"/>
          <w:szCs w:val="21"/>
          <w:highlight w:val="none"/>
        </w:rPr>
        <w:t>。</w:t>
      </w:r>
    </w:p>
    <w:p w14:paraId="1352625E">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承包方提交的竣工资料的费用承担：</w:t>
      </w:r>
      <w:r>
        <w:rPr>
          <w:rFonts w:hint="eastAsia" w:ascii="宋体" w:hAnsi="宋体"/>
          <w:color w:val="auto"/>
          <w:sz w:val="21"/>
          <w:szCs w:val="21"/>
          <w:highlight w:val="none"/>
          <w:u w:val="single"/>
        </w:rPr>
        <w:t>由承包方自行承担</w:t>
      </w:r>
      <w:r>
        <w:rPr>
          <w:rFonts w:hint="eastAsia" w:ascii="宋体" w:hAnsi="宋体"/>
          <w:color w:val="auto"/>
          <w:sz w:val="21"/>
          <w:szCs w:val="21"/>
          <w:highlight w:val="none"/>
        </w:rPr>
        <w:t>。</w:t>
      </w:r>
    </w:p>
    <w:p w14:paraId="68C16B65">
      <w:pPr>
        <w:keepNext w:val="0"/>
        <w:keepLines w:val="0"/>
        <w:pageBreakBefore w:val="0"/>
        <w:widowControl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承包方提交的竣工资料移交时间：</w:t>
      </w:r>
      <w:r>
        <w:rPr>
          <w:rFonts w:hint="eastAsia"/>
          <w:color w:val="auto"/>
          <w:sz w:val="21"/>
          <w:szCs w:val="21"/>
          <w:highlight w:val="none"/>
          <w:u w:val="single"/>
        </w:rPr>
        <w:t>按照法律法规和当地竣工验收备案部门的有关规定。</w:t>
      </w:r>
    </w:p>
    <w:p w14:paraId="0F9E9819">
      <w:pPr>
        <w:keepNext w:val="0"/>
        <w:keepLines w:val="0"/>
        <w:pageBreakBefore w:val="0"/>
        <w:widowControl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承包方提交的竣工资料形式要求：</w:t>
      </w:r>
      <w:r>
        <w:rPr>
          <w:rFonts w:hint="eastAsia" w:ascii="宋体" w:hAnsi="宋体"/>
          <w:color w:val="auto"/>
          <w:sz w:val="21"/>
          <w:szCs w:val="21"/>
          <w:highlight w:val="none"/>
          <w:u w:val="single"/>
        </w:rPr>
        <w:t>书面资料及电子文档</w:t>
      </w:r>
      <w:r>
        <w:rPr>
          <w:rFonts w:hint="eastAsia" w:ascii="宋体" w:hAnsi="宋体"/>
          <w:color w:val="auto"/>
          <w:sz w:val="21"/>
          <w:szCs w:val="21"/>
          <w:highlight w:val="none"/>
        </w:rPr>
        <w:t>。</w:t>
      </w:r>
    </w:p>
    <w:p w14:paraId="24F76156">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（10）承包方应履行的其他义务：</w:t>
      </w:r>
      <w:r>
        <w:rPr>
          <w:rFonts w:hint="eastAsia" w:ascii="宋体" w:hAnsi="宋体" w:cs="MingLiU_HKSCS"/>
          <w:color w:val="auto"/>
          <w:sz w:val="21"/>
          <w:szCs w:val="21"/>
          <w:highlight w:val="none"/>
          <w:u w:val="single"/>
          <w:lang w:val="en-US" w:eastAsia="zh-CN"/>
        </w:rPr>
        <w:t>/</w:t>
      </w:r>
      <w:r>
        <w:rPr>
          <w:rFonts w:hint="eastAsia" w:ascii="宋体" w:hAnsi="宋体"/>
          <w:color w:val="auto"/>
          <w:sz w:val="21"/>
          <w:szCs w:val="21"/>
          <w:highlight w:val="none"/>
        </w:rPr>
        <w:t>。</w:t>
      </w:r>
    </w:p>
    <w:p w14:paraId="23F509C4">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3.2 </w:t>
      </w:r>
      <w:r>
        <w:rPr>
          <w:rFonts w:hint="eastAsia" w:ascii="宋体" w:hAnsi="宋体"/>
          <w:color w:val="auto"/>
          <w:sz w:val="21"/>
          <w:szCs w:val="21"/>
          <w:highlight w:val="none"/>
        </w:rPr>
        <w:t>项目经理</w:t>
      </w:r>
    </w:p>
    <w:p w14:paraId="570C1FFC">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3.2.1 </w:t>
      </w:r>
      <w:r>
        <w:rPr>
          <w:rFonts w:hint="eastAsia" w:ascii="宋体" w:hAnsi="宋体"/>
          <w:color w:val="auto"/>
          <w:sz w:val="21"/>
          <w:szCs w:val="21"/>
          <w:highlight w:val="none"/>
        </w:rPr>
        <w:t>项目经理：</w:t>
      </w:r>
    </w:p>
    <w:p w14:paraId="7E9BAB36">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姓名：；</w:t>
      </w:r>
    </w:p>
    <w:p w14:paraId="5F91A6BF">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身份证号：；</w:t>
      </w:r>
    </w:p>
    <w:p w14:paraId="41E68B49">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建造师执业资格等级：；</w:t>
      </w:r>
    </w:p>
    <w:p w14:paraId="6E041075">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建造师注册证书号：；</w:t>
      </w:r>
    </w:p>
    <w:p w14:paraId="394CF929">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建造师执业印章号：；</w:t>
      </w:r>
    </w:p>
    <w:p w14:paraId="47D825CC">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安全生产考核合格证书号：；</w:t>
      </w:r>
    </w:p>
    <w:p w14:paraId="222D0153">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联系电话：；</w:t>
      </w:r>
    </w:p>
    <w:p w14:paraId="763A04B7">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电子信箱：；</w:t>
      </w:r>
    </w:p>
    <w:p w14:paraId="503F21C6">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通信地址：；</w:t>
      </w:r>
    </w:p>
    <w:p w14:paraId="3F0C4FD3">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hint="eastAsia" w:ascii="宋体" w:hAnsi="宋体"/>
          <w:color w:val="auto"/>
          <w:sz w:val="21"/>
          <w:szCs w:val="21"/>
          <w:highlight w:val="none"/>
        </w:rPr>
      </w:pPr>
      <w:r>
        <w:rPr>
          <w:rFonts w:hint="eastAsia" w:ascii="宋体" w:hAnsi="宋体"/>
          <w:color w:val="auto"/>
          <w:sz w:val="21"/>
          <w:szCs w:val="21"/>
          <w:highlight w:val="none"/>
        </w:rPr>
        <w:t>承包方对项目经理的授权范围如下：代表承包方全面履行合同约定的权利和义务。</w:t>
      </w:r>
    </w:p>
    <w:p w14:paraId="751D68EC">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关于项目经理每月在施工现场的时间要求：</w:t>
      </w:r>
      <w:r>
        <w:rPr>
          <w:rFonts w:hint="eastAsia" w:ascii="宋体" w:hAnsi="宋体"/>
          <w:b/>
          <w:bCs/>
          <w:color w:val="auto"/>
          <w:sz w:val="21"/>
          <w:szCs w:val="21"/>
          <w:highlight w:val="none"/>
          <w:u w:val="single"/>
        </w:rPr>
        <w:t>驻场施工</w:t>
      </w:r>
      <w:r>
        <w:rPr>
          <w:rFonts w:hint="eastAsia" w:ascii="宋体" w:hAnsi="宋体"/>
          <w:color w:val="auto"/>
          <w:sz w:val="21"/>
          <w:szCs w:val="21"/>
          <w:highlight w:val="none"/>
        </w:rPr>
        <w:t>。</w:t>
      </w:r>
    </w:p>
    <w:p w14:paraId="1A5ECD43">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u w:val="single"/>
        </w:rPr>
      </w:pPr>
      <w:r>
        <w:rPr>
          <w:rFonts w:hint="eastAsia" w:ascii="宋体" w:hAnsi="宋体"/>
          <w:color w:val="auto"/>
          <w:sz w:val="21"/>
          <w:szCs w:val="21"/>
          <w:highlight w:val="none"/>
        </w:rPr>
        <w:t>承包人未提交劳动合同，以及没有为项目经理缴纳社会保险证明的违约责任：</w:t>
      </w:r>
      <w:r>
        <w:rPr>
          <w:rFonts w:hint="eastAsia" w:ascii="宋体" w:hAnsi="宋体"/>
          <w:color w:val="auto"/>
          <w:sz w:val="21"/>
          <w:szCs w:val="21"/>
          <w:highlight w:val="none"/>
          <w:u w:val="single"/>
        </w:rPr>
        <w:t>取消中标资格，并上报行政主管部门。</w:t>
      </w:r>
    </w:p>
    <w:p w14:paraId="670965CF">
      <w:pPr>
        <w:keepNext w:val="0"/>
        <w:keepLines w:val="0"/>
        <w:pageBreakBefore w:val="0"/>
        <w:widowControl w:val="0"/>
        <w:kinsoku/>
        <w:wordWrap/>
        <w:overflowPunct/>
        <w:topLinePunct w:val="0"/>
        <w:autoSpaceDE/>
        <w:autoSpaceDN/>
        <w:bidi w:val="0"/>
        <w:adjustRightInd/>
        <w:snapToGrid w:val="0"/>
        <w:spacing w:line="312" w:lineRule="auto"/>
        <w:ind w:right="-240" w:rightChars="-100" w:firstLine="420"/>
        <w:textAlignment w:val="auto"/>
        <w:rPr>
          <w:rFonts w:hint="eastAsia" w:ascii="宋体" w:hAnsi="宋体" w:eastAsia="宋体"/>
          <w:color w:val="auto"/>
          <w:sz w:val="21"/>
          <w:szCs w:val="21"/>
          <w:highlight w:val="none"/>
          <w:u w:val="single"/>
          <w:lang w:eastAsia="zh-CN"/>
        </w:rPr>
      </w:pPr>
      <w:r>
        <w:rPr>
          <w:rFonts w:hint="eastAsia" w:ascii="宋体" w:hAnsi="宋体"/>
          <w:color w:val="auto"/>
          <w:sz w:val="21"/>
          <w:szCs w:val="21"/>
          <w:highlight w:val="none"/>
        </w:rPr>
        <w:t>项目经理未经批准，擅自离开施工现场的违约责任：</w:t>
      </w:r>
      <w:r>
        <w:rPr>
          <w:rFonts w:hint="eastAsia" w:ascii="宋体" w:hAnsi="宋体"/>
          <w:color w:val="auto"/>
          <w:sz w:val="21"/>
          <w:szCs w:val="21"/>
          <w:highlight w:val="none"/>
          <w:u w:val="single"/>
        </w:rPr>
        <w:t>发包人抽查发现不在现场承包人支付</w:t>
      </w:r>
      <w:r>
        <w:rPr>
          <w:rFonts w:hint="eastAsia" w:ascii="宋体" w:hAnsi="宋体"/>
          <w:color w:val="auto"/>
          <w:sz w:val="21"/>
          <w:szCs w:val="21"/>
          <w:highlight w:val="none"/>
          <w:u w:val="single"/>
          <w:lang w:val="en-US" w:eastAsia="zh-CN"/>
        </w:rPr>
        <w:t>5</w:t>
      </w:r>
      <w:r>
        <w:rPr>
          <w:rFonts w:hint="eastAsia" w:ascii="宋体" w:hAnsi="宋体"/>
          <w:color w:val="auto"/>
          <w:sz w:val="21"/>
          <w:szCs w:val="21"/>
          <w:highlight w:val="none"/>
          <w:u w:val="single"/>
        </w:rPr>
        <w:t>000元/次的违约金</w:t>
      </w:r>
      <w:r>
        <w:rPr>
          <w:rFonts w:hint="eastAsia" w:ascii="宋体" w:hAnsi="宋体"/>
          <w:color w:val="auto"/>
          <w:sz w:val="21"/>
          <w:szCs w:val="21"/>
          <w:highlight w:val="none"/>
          <w:u w:val="single"/>
          <w:lang w:eastAsia="zh-CN"/>
        </w:rPr>
        <w:t>，</w:t>
      </w:r>
      <w:r>
        <w:rPr>
          <w:rFonts w:hint="eastAsia" w:ascii="宋体" w:hAnsi="宋体"/>
          <w:color w:val="auto"/>
          <w:sz w:val="21"/>
          <w:szCs w:val="21"/>
          <w:highlight w:val="none"/>
          <w:u w:val="single"/>
          <w:lang w:val="en-US" w:eastAsia="zh-CN"/>
        </w:rPr>
        <w:t>同时，因项目经理擅自离岗给工程造成损失的，承包人需承担全部赔偿责任。</w:t>
      </w:r>
    </w:p>
    <w:p w14:paraId="076D8A71">
      <w:pPr>
        <w:keepNext w:val="0"/>
        <w:keepLines w:val="0"/>
        <w:pageBreakBefore w:val="0"/>
        <w:widowControl w:val="0"/>
        <w:kinsoku/>
        <w:wordWrap/>
        <w:overflowPunct/>
        <w:topLinePunct w:val="0"/>
        <w:autoSpaceDE/>
        <w:autoSpaceDN/>
        <w:bidi w:val="0"/>
        <w:adjustRightInd/>
        <w:snapToGrid w:val="0"/>
        <w:spacing w:line="312" w:lineRule="auto"/>
        <w:ind w:right="-240" w:rightChars="-100" w:firstLine="420"/>
        <w:textAlignment w:val="auto"/>
        <w:rPr>
          <w:rFonts w:ascii="宋体" w:hAnsi="宋体"/>
          <w:color w:val="auto"/>
          <w:sz w:val="21"/>
          <w:szCs w:val="21"/>
          <w:highlight w:val="none"/>
        </w:rPr>
      </w:pPr>
      <w:r>
        <w:rPr>
          <w:rFonts w:ascii="宋体" w:hAnsi="宋体"/>
          <w:color w:val="auto"/>
          <w:sz w:val="21"/>
          <w:szCs w:val="21"/>
          <w:highlight w:val="none"/>
        </w:rPr>
        <w:t>3.2.</w:t>
      </w:r>
      <w:r>
        <w:rPr>
          <w:rFonts w:hint="eastAsia" w:ascii="宋体" w:hAnsi="宋体"/>
          <w:color w:val="auto"/>
          <w:sz w:val="21"/>
          <w:szCs w:val="21"/>
          <w:highlight w:val="none"/>
        </w:rPr>
        <w:t>3承包方擅自更换项目部人员的违约责任：</w:t>
      </w:r>
      <w:r>
        <w:rPr>
          <w:rFonts w:hint="eastAsia" w:ascii="宋体" w:hAnsi="宋体"/>
          <w:color w:val="auto"/>
          <w:sz w:val="21"/>
          <w:szCs w:val="21"/>
          <w:highlight w:val="none"/>
          <w:u w:val="single"/>
        </w:rPr>
        <w:t>承包方的项目负责人及项目部组成人员未经发包方同意擅自更换，则发包方可自行解除施工合同并没收履约保证金，并保留进一步追究其责任的权利</w:t>
      </w:r>
      <w:r>
        <w:rPr>
          <w:rFonts w:hint="eastAsia" w:ascii="宋体" w:hAnsi="宋体"/>
          <w:color w:val="auto"/>
          <w:sz w:val="21"/>
          <w:szCs w:val="21"/>
          <w:highlight w:val="none"/>
        </w:rPr>
        <w:t>。</w:t>
      </w:r>
    </w:p>
    <w:p w14:paraId="56E7E4AB">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3.2.</w:t>
      </w:r>
      <w:r>
        <w:rPr>
          <w:rFonts w:hint="eastAsia" w:ascii="宋体" w:hAnsi="宋体"/>
          <w:color w:val="auto"/>
          <w:sz w:val="21"/>
          <w:szCs w:val="21"/>
          <w:highlight w:val="none"/>
        </w:rPr>
        <w:t>4承包方无正当理由拒绝发包方要求更换项目经理的违约责任：</w:t>
      </w:r>
      <w:r>
        <w:rPr>
          <w:rFonts w:hint="eastAsia" w:ascii="宋体" w:hAnsi="宋体"/>
          <w:color w:val="auto"/>
          <w:sz w:val="21"/>
          <w:szCs w:val="21"/>
          <w:highlight w:val="none"/>
          <w:u w:val="single"/>
        </w:rPr>
        <w:t>发包方有权责令停工整改，并由承包方按签约合同价的1%承担违约金</w:t>
      </w:r>
      <w:r>
        <w:rPr>
          <w:rFonts w:hint="eastAsia" w:ascii="宋体" w:hAnsi="宋体"/>
          <w:color w:val="auto"/>
          <w:sz w:val="21"/>
          <w:szCs w:val="21"/>
          <w:highlight w:val="none"/>
        </w:rPr>
        <w:t>。</w:t>
      </w:r>
    </w:p>
    <w:p w14:paraId="01F6EA24">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3.3 </w:t>
      </w:r>
      <w:r>
        <w:rPr>
          <w:rFonts w:hint="eastAsia" w:ascii="宋体" w:hAnsi="宋体"/>
          <w:color w:val="auto"/>
          <w:sz w:val="21"/>
          <w:szCs w:val="21"/>
          <w:highlight w:val="none"/>
        </w:rPr>
        <w:t>承包方人员</w:t>
      </w:r>
    </w:p>
    <w:p w14:paraId="597A48D1">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3.3.1 </w:t>
      </w:r>
      <w:r>
        <w:rPr>
          <w:rFonts w:hint="eastAsia" w:ascii="宋体" w:hAnsi="宋体"/>
          <w:color w:val="auto"/>
          <w:sz w:val="21"/>
          <w:szCs w:val="21"/>
          <w:highlight w:val="none"/>
        </w:rPr>
        <w:t>承包方提交项目管理机构及施工现场管理人员安排报告的期限：</w:t>
      </w:r>
      <w:r>
        <w:rPr>
          <w:rFonts w:hint="eastAsia" w:ascii="宋体" w:hAnsi="宋体"/>
          <w:color w:val="auto"/>
          <w:sz w:val="21"/>
          <w:szCs w:val="21"/>
          <w:highlight w:val="none"/>
          <w:u w:val="single"/>
        </w:rPr>
        <w:t>承包方应在接到开工通知后 7 天内，向监理人提交承包方项目管理机构及施工现场人员安排的报告</w:t>
      </w:r>
      <w:r>
        <w:rPr>
          <w:rFonts w:hint="eastAsia" w:ascii="宋体" w:hAnsi="宋体"/>
          <w:color w:val="auto"/>
          <w:sz w:val="21"/>
          <w:szCs w:val="21"/>
          <w:highlight w:val="none"/>
        </w:rPr>
        <w:t>。</w:t>
      </w:r>
    </w:p>
    <w:p w14:paraId="2196EFE6">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3.3.</w:t>
      </w:r>
      <w:r>
        <w:rPr>
          <w:rFonts w:hint="eastAsia" w:ascii="宋体" w:hAnsi="宋体"/>
          <w:color w:val="auto"/>
          <w:sz w:val="21"/>
          <w:szCs w:val="21"/>
          <w:highlight w:val="none"/>
        </w:rPr>
        <w:t>3承包方无正当理由拒绝发包方要求撤换主要施工管理人员的违约责任：</w:t>
      </w:r>
      <w:r>
        <w:rPr>
          <w:rFonts w:hint="eastAsia" w:ascii="宋体" w:hAnsi="宋体"/>
          <w:color w:val="auto"/>
          <w:sz w:val="21"/>
          <w:szCs w:val="21"/>
          <w:highlight w:val="none"/>
          <w:u w:val="single"/>
        </w:rPr>
        <w:t>责令停工整改，并</w:t>
      </w:r>
      <w:r>
        <w:rPr>
          <w:rFonts w:ascii="宋体" w:hAnsi="宋体"/>
          <w:color w:val="auto"/>
          <w:sz w:val="21"/>
          <w:szCs w:val="21"/>
          <w:highlight w:val="none"/>
          <w:u w:val="single"/>
        </w:rPr>
        <w:t>承担1000元/人的违约金</w:t>
      </w:r>
      <w:r>
        <w:rPr>
          <w:rFonts w:hint="eastAsia" w:ascii="宋体" w:hAnsi="宋体"/>
          <w:color w:val="auto"/>
          <w:sz w:val="21"/>
          <w:szCs w:val="21"/>
          <w:highlight w:val="none"/>
          <w:u w:val="single"/>
        </w:rPr>
        <w:t>，由此造成的损失由承包方承担</w:t>
      </w:r>
      <w:r>
        <w:rPr>
          <w:rFonts w:hint="eastAsia" w:ascii="宋体" w:hAnsi="宋体"/>
          <w:color w:val="auto"/>
          <w:sz w:val="21"/>
          <w:szCs w:val="21"/>
          <w:highlight w:val="none"/>
        </w:rPr>
        <w:t>。</w:t>
      </w:r>
    </w:p>
    <w:p w14:paraId="6F4DD216">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hint="eastAsia" w:ascii="宋体" w:hAnsi="宋体"/>
          <w:color w:val="auto"/>
          <w:sz w:val="21"/>
          <w:szCs w:val="21"/>
          <w:highlight w:val="none"/>
          <w:u w:val="single"/>
        </w:rPr>
      </w:pPr>
      <w:r>
        <w:rPr>
          <w:rFonts w:ascii="宋体" w:hAnsi="宋体"/>
          <w:color w:val="auto"/>
          <w:sz w:val="21"/>
          <w:szCs w:val="21"/>
          <w:highlight w:val="none"/>
        </w:rPr>
        <w:t>3.3.</w:t>
      </w:r>
      <w:r>
        <w:rPr>
          <w:rFonts w:hint="eastAsia" w:ascii="宋体" w:hAnsi="宋体"/>
          <w:color w:val="auto"/>
          <w:sz w:val="21"/>
          <w:szCs w:val="21"/>
          <w:highlight w:val="none"/>
        </w:rPr>
        <w:t>4承包方主要施工管理人员离开施工现场的批准要求：：</w:t>
      </w:r>
      <w:r>
        <w:rPr>
          <w:rFonts w:hint="eastAsia" w:ascii="宋体" w:hAnsi="宋体"/>
          <w:color w:val="auto"/>
          <w:sz w:val="21"/>
          <w:szCs w:val="21"/>
          <w:highlight w:val="none"/>
          <w:u w:val="single"/>
        </w:rPr>
        <w:t>承包人的主要施工人员离开现场每月累计不超过 5 天，应报监理人同意。超过 5 天的，应通知监理人，并征得发包人书面同意。</w:t>
      </w:r>
    </w:p>
    <w:p w14:paraId="5D59E2E0">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3.3.</w:t>
      </w:r>
      <w:r>
        <w:rPr>
          <w:rFonts w:hint="eastAsia" w:ascii="宋体" w:hAnsi="宋体"/>
          <w:color w:val="auto"/>
          <w:sz w:val="21"/>
          <w:szCs w:val="21"/>
          <w:highlight w:val="none"/>
        </w:rPr>
        <w:t>5承包方擅自更换主要施工管理人员的违约责任：</w:t>
      </w:r>
      <w:r>
        <w:rPr>
          <w:rFonts w:hint="eastAsia" w:ascii="宋体" w:hAnsi="宋体"/>
          <w:color w:val="auto"/>
          <w:sz w:val="21"/>
          <w:szCs w:val="21"/>
          <w:highlight w:val="none"/>
          <w:u w:val="single"/>
        </w:rPr>
        <w:t>责令停工整改，并</w:t>
      </w:r>
      <w:r>
        <w:rPr>
          <w:rFonts w:ascii="宋体" w:hAnsi="宋体"/>
          <w:color w:val="auto"/>
          <w:sz w:val="21"/>
          <w:szCs w:val="21"/>
          <w:highlight w:val="none"/>
          <w:u w:val="single"/>
        </w:rPr>
        <w:t>承担1000元/人的违约金</w:t>
      </w:r>
      <w:r>
        <w:rPr>
          <w:rFonts w:hint="eastAsia" w:ascii="宋体" w:hAnsi="宋体"/>
          <w:color w:val="auto"/>
          <w:sz w:val="21"/>
          <w:szCs w:val="21"/>
          <w:highlight w:val="none"/>
          <w:u w:val="single"/>
        </w:rPr>
        <w:t>，由此造成的损失由承包方承担</w:t>
      </w:r>
      <w:r>
        <w:rPr>
          <w:rFonts w:hint="eastAsia" w:ascii="宋体" w:hAnsi="宋体"/>
          <w:color w:val="auto"/>
          <w:sz w:val="21"/>
          <w:szCs w:val="21"/>
          <w:highlight w:val="none"/>
        </w:rPr>
        <w:t>。</w:t>
      </w:r>
    </w:p>
    <w:p w14:paraId="668E8681">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承包方主要施工管理人员擅自离开施工现场的违约责任：</w:t>
      </w:r>
      <w:r>
        <w:rPr>
          <w:rFonts w:ascii="宋体" w:hAnsi="宋体"/>
          <w:color w:val="auto"/>
          <w:sz w:val="21"/>
          <w:szCs w:val="21"/>
          <w:highlight w:val="none"/>
          <w:u w:val="single"/>
        </w:rPr>
        <w:t>每次承担</w:t>
      </w:r>
      <w:r>
        <w:rPr>
          <w:rFonts w:hint="eastAsia" w:ascii="宋体" w:hAnsi="宋体"/>
          <w:color w:val="auto"/>
          <w:sz w:val="21"/>
          <w:szCs w:val="21"/>
          <w:highlight w:val="none"/>
          <w:u w:val="single"/>
        </w:rPr>
        <w:t>5</w:t>
      </w:r>
      <w:r>
        <w:rPr>
          <w:rFonts w:ascii="宋体" w:hAnsi="宋体"/>
          <w:color w:val="auto"/>
          <w:sz w:val="21"/>
          <w:szCs w:val="21"/>
          <w:highlight w:val="none"/>
          <w:u w:val="single"/>
        </w:rPr>
        <w:t>00元/人的违约金</w:t>
      </w:r>
      <w:r>
        <w:rPr>
          <w:rFonts w:hint="eastAsia" w:ascii="宋体" w:hAnsi="宋体"/>
          <w:color w:val="auto"/>
          <w:sz w:val="21"/>
          <w:szCs w:val="21"/>
          <w:highlight w:val="none"/>
          <w:u w:val="single"/>
        </w:rPr>
        <w:t>，由此造成的损失由承包方承担</w:t>
      </w:r>
      <w:r>
        <w:rPr>
          <w:rFonts w:hint="eastAsia" w:ascii="宋体" w:hAnsi="宋体"/>
          <w:color w:val="auto"/>
          <w:sz w:val="21"/>
          <w:szCs w:val="21"/>
          <w:highlight w:val="none"/>
        </w:rPr>
        <w:t>。</w:t>
      </w:r>
    </w:p>
    <w:p w14:paraId="0DB339F4">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3.</w:t>
      </w:r>
      <w:r>
        <w:rPr>
          <w:rFonts w:hint="eastAsia" w:ascii="宋体" w:hAnsi="宋体"/>
          <w:color w:val="auto"/>
          <w:sz w:val="21"/>
          <w:szCs w:val="21"/>
          <w:highlight w:val="none"/>
        </w:rPr>
        <w:t>5分包</w:t>
      </w:r>
    </w:p>
    <w:p w14:paraId="05CBCDA4">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3.</w:t>
      </w:r>
      <w:r>
        <w:rPr>
          <w:rFonts w:hint="eastAsia" w:ascii="宋体" w:hAnsi="宋体"/>
          <w:color w:val="auto"/>
          <w:sz w:val="21"/>
          <w:szCs w:val="21"/>
          <w:highlight w:val="none"/>
        </w:rPr>
        <w:t>5</w:t>
      </w:r>
      <w:r>
        <w:rPr>
          <w:rFonts w:ascii="宋体" w:hAnsi="宋体"/>
          <w:color w:val="auto"/>
          <w:sz w:val="21"/>
          <w:szCs w:val="21"/>
          <w:highlight w:val="none"/>
        </w:rPr>
        <w:t xml:space="preserve">.1 </w:t>
      </w:r>
      <w:r>
        <w:rPr>
          <w:rFonts w:hint="eastAsia" w:ascii="宋体" w:hAnsi="宋体"/>
          <w:color w:val="auto"/>
          <w:sz w:val="21"/>
          <w:szCs w:val="21"/>
          <w:highlight w:val="none"/>
        </w:rPr>
        <w:t>分包的一般约定</w:t>
      </w:r>
    </w:p>
    <w:p w14:paraId="3656CEF3">
      <w:pPr>
        <w:keepNext w:val="0"/>
        <w:keepLines w:val="0"/>
        <w:pageBreakBefore w:val="0"/>
        <w:widowControl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禁止分包的工程包括：</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主体结构、关键性工作</w:t>
      </w:r>
      <w:r>
        <w:rPr>
          <w:rFonts w:hint="eastAsia" w:ascii="宋体" w:hAnsi="宋体" w:cs="宋体"/>
          <w:color w:val="auto"/>
          <w:sz w:val="21"/>
          <w:szCs w:val="21"/>
          <w:highlight w:val="none"/>
          <w:u w:val="single"/>
        </w:rPr>
        <w:t>/</w:t>
      </w:r>
      <w:r>
        <w:rPr>
          <w:rFonts w:hint="eastAsia" w:ascii="宋体" w:hAnsi="宋体"/>
          <w:color w:val="auto"/>
          <w:sz w:val="21"/>
          <w:szCs w:val="21"/>
          <w:highlight w:val="none"/>
        </w:rPr>
        <w:t>。</w:t>
      </w:r>
    </w:p>
    <w:p w14:paraId="3CEDC3C6">
      <w:pPr>
        <w:keepNext w:val="0"/>
        <w:keepLines w:val="0"/>
        <w:pageBreakBefore w:val="0"/>
        <w:widowControl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u w:val="single"/>
        </w:rPr>
      </w:pPr>
      <w:bookmarkStart w:id="525" w:name="_Hlk117632980"/>
      <w:r>
        <w:rPr>
          <w:rFonts w:hint="eastAsia" w:ascii="宋体" w:hAnsi="宋体"/>
          <w:color w:val="auto"/>
          <w:sz w:val="21"/>
          <w:szCs w:val="21"/>
          <w:highlight w:val="none"/>
        </w:rPr>
        <w:t>主体结构、关键性工作</w:t>
      </w:r>
      <w:bookmarkEnd w:id="525"/>
      <w:r>
        <w:rPr>
          <w:rFonts w:hint="eastAsia" w:ascii="宋体" w:hAnsi="宋体"/>
          <w:color w:val="auto"/>
          <w:sz w:val="21"/>
          <w:szCs w:val="21"/>
          <w:highlight w:val="none"/>
        </w:rPr>
        <w:t>的范围：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根据规范要求</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rPr>
        <w:t>。</w:t>
      </w:r>
    </w:p>
    <w:p w14:paraId="5DEA8C1A">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u w:val="single"/>
        </w:rPr>
      </w:pPr>
      <w:r>
        <w:rPr>
          <w:rFonts w:ascii="宋体" w:hAnsi="宋体"/>
          <w:color w:val="auto"/>
          <w:sz w:val="21"/>
          <w:szCs w:val="21"/>
          <w:highlight w:val="none"/>
        </w:rPr>
        <w:t>3.</w:t>
      </w:r>
      <w:r>
        <w:rPr>
          <w:rFonts w:hint="eastAsia" w:ascii="宋体" w:hAnsi="宋体"/>
          <w:color w:val="auto"/>
          <w:sz w:val="21"/>
          <w:szCs w:val="21"/>
          <w:highlight w:val="none"/>
        </w:rPr>
        <w:t>5</w:t>
      </w:r>
      <w:r>
        <w:rPr>
          <w:rFonts w:ascii="宋体" w:hAnsi="宋体"/>
          <w:color w:val="auto"/>
          <w:sz w:val="21"/>
          <w:szCs w:val="21"/>
          <w:highlight w:val="none"/>
        </w:rPr>
        <w:t>.2</w:t>
      </w:r>
      <w:r>
        <w:rPr>
          <w:rFonts w:hint="eastAsia" w:ascii="宋体" w:hAnsi="宋体"/>
          <w:color w:val="auto"/>
          <w:sz w:val="21"/>
          <w:szCs w:val="21"/>
          <w:highlight w:val="none"/>
        </w:rPr>
        <w:t>分包的确定</w:t>
      </w:r>
    </w:p>
    <w:p w14:paraId="1297876F">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u w:val="single"/>
        </w:rPr>
      </w:pPr>
      <w:r>
        <w:rPr>
          <w:rFonts w:hint="eastAsia" w:ascii="宋体" w:hAnsi="宋体"/>
          <w:color w:val="auto"/>
          <w:sz w:val="21"/>
          <w:szCs w:val="21"/>
          <w:highlight w:val="none"/>
        </w:rPr>
        <w:t>允许分包的专业工程包括：</w:t>
      </w:r>
      <w:r>
        <w:rPr>
          <w:rFonts w:hint="eastAsia" w:ascii="宋体" w:hAnsi="宋体" w:cs="宋体"/>
          <w:color w:val="auto"/>
          <w:sz w:val="21"/>
          <w:szCs w:val="21"/>
          <w:highlight w:val="none"/>
          <w:u w:val="single"/>
        </w:rPr>
        <w:t xml:space="preserve">   /   </w:t>
      </w:r>
      <w:r>
        <w:rPr>
          <w:rFonts w:hint="eastAsia" w:ascii="宋体" w:hAnsi="宋体"/>
          <w:color w:val="auto"/>
          <w:sz w:val="21"/>
          <w:szCs w:val="21"/>
          <w:highlight w:val="none"/>
        </w:rPr>
        <w:t>。</w:t>
      </w:r>
    </w:p>
    <w:p w14:paraId="3C76D0A7">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其他关于分包的约定：</w:t>
      </w:r>
      <w:r>
        <w:rPr>
          <w:rFonts w:hint="eastAsia" w:ascii="宋体" w:hAnsi="宋体" w:cs="宋体"/>
          <w:color w:val="auto"/>
          <w:sz w:val="21"/>
          <w:szCs w:val="21"/>
          <w:highlight w:val="none"/>
          <w:u w:val="single"/>
        </w:rPr>
        <w:t xml:space="preserve">   /   </w:t>
      </w:r>
      <w:r>
        <w:rPr>
          <w:rFonts w:hint="eastAsia" w:ascii="宋体" w:hAnsi="宋体"/>
          <w:color w:val="auto"/>
          <w:sz w:val="21"/>
          <w:szCs w:val="21"/>
          <w:highlight w:val="none"/>
        </w:rPr>
        <w:t>。</w:t>
      </w:r>
    </w:p>
    <w:p w14:paraId="22E603E1">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3.</w:t>
      </w:r>
      <w:r>
        <w:rPr>
          <w:rFonts w:hint="eastAsia" w:ascii="宋体" w:hAnsi="宋体"/>
          <w:color w:val="auto"/>
          <w:sz w:val="21"/>
          <w:szCs w:val="21"/>
          <w:highlight w:val="none"/>
        </w:rPr>
        <w:t>5</w:t>
      </w:r>
      <w:r>
        <w:rPr>
          <w:rFonts w:ascii="宋体" w:hAnsi="宋体"/>
          <w:color w:val="auto"/>
          <w:sz w:val="21"/>
          <w:szCs w:val="21"/>
          <w:highlight w:val="none"/>
        </w:rPr>
        <w:t>.</w:t>
      </w:r>
      <w:r>
        <w:rPr>
          <w:rFonts w:hint="eastAsia" w:ascii="宋体" w:hAnsi="宋体"/>
          <w:color w:val="auto"/>
          <w:sz w:val="21"/>
          <w:szCs w:val="21"/>
          <w:highlight w:val="none"/>
        </w:rPr>
        <w:t>4分包合同价款</w:t>
      </w:r>
    </w:p>
    <w:p w14:paraId="56CBAB26">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关于分包合同价款支付的约定：</w:t>
      </w:r>
      <w:r>
        <w:rPr>
          <w:rFonts w:hint="eastAsia" w:ascii="宋体" w:hAnsi="宋体" w:cs="宋体"/>
          <w:color w:val="auto"/>
          <w:sz w:val="21"/>
          <w:szCs w:val="21"/>
          <w:highlight w:val="none"/>
          <w:u w:val="single"/>
        </w:rPr>
        <w:t xml:space="preserve">   /   </w:t>
      </w:r>
      <w:r>
        <w:rPr>
          <w:rFonts w:hint="eastAsia" w:ascii="宋体" w:hAnsi="宋体"/>
          <w:color w:val="auto"/>
          <w:sz w:val="21"/>
          <w:szCs w:val="21"/>
          <w:highlight w:val="none"/>
        </w:rPr>
        <w:t>。</w:t>
      </w:r>
    </w:p>
    <w:p w14:paraId="0E3C8844">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3.</w:t>
      </w:r>
      <w:r>
        <w:rPr>
          <w:rFonts w:hint="eastAsia" w:ascii="宋体" w:hAnsi="宋体"/>
          <w:color w:val="auto"/>
          <w:sz w:val="21"/>
          <w:szCs w:val="21"/>
          <w:highlight w:val="none"/>
        </w:rPr>
        <w:t>6工程照管与成品、半成品保护</w:t>
      </w:r>
    </w:p>
    <w:p w14:paraId="2DB3EDFF">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u w:val="single"/>
        </w:rPr>
      </w:pPr>
      <w:r>
        <w:rPr>
          <w:rFonts w:hint="eastAsia" w:ascii="宋体" w:hAnsi="宋体"/>
          <w:color w:val="auto"/>
          <w:sz w:val="21"/>
          <w:szCs w:val="21"/>
          <w:highlight w:val="none"/>
        </w:rPr>
        <w:t>承包方负责照管工程及工程相关的材料、工程设备的起始时间：</w:t>
      </w:r>
      <w:r>
        <w:rPr>
          <w:rFonts w:hint="eastAsia" w:ascii="宋体" w:hAnsi="宋体"/>
          <w:color w:val="auto"/>
          <w:sz w:val="21"/>
          <w:szCs w:val="21"/>
          <w:highlight w:val="none"/>
          <w:u w:val="single"/>
        </w:rPr>
        <w:t>发包方向承包移交施工现场之日起</w:t>
      </w:r>
      <w:r>
        <w:rPr>
          <w:rFonts w:hint="eastAsia" w:ascii="宋体" w:hAnsi="宋体"/>
          <w:color w:val="auto"/>
          <w:sz w:val="21"/>
          <w:szCs w:val="21"/>
          <w:highlight w:val="none"/>
        </w:rPr>
        <w:t>。</w:t>
      </w:r>
    </w:p>
    <w:p w14:paraId="35C8AE8E">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3.</w:t>
      </w:r>
      <w:r>
        <w:rPr>
          <w:rFonts w:hint="eastAsia" w:ascii="宋体" w:hAnsi="宋体"/>
          <w:color w:val="auto"/>
          <w:sz w:val="21"/>
          <w:szCs w:val="21"/>
          <w:highlight w:val="none"/>
        </w:rPr>
        <w:t>7履约担保</w:t>
      </w:r>
    </w:p>
    <w:p w14:paraId="3DC898A1">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承包方是否提供履约担保：</w:t>
      </w:r>
      <w:r>
        <w:rPr>
          <w:rFonts w:hint="eastAsia" w:ascii="宋体" w:hAnsi="宋体"/>
          <w:color w:val="auto"/>
          <w:sz w:val="21"/>
          <w:szCs w:val="21"/>
          <w:highlight w:val="none"/>
          <w:u w:val="single"/>
        </w:rPr>
        <w:t>是</w:t>
      </w:r>
      <w:r>
        <w:rPr>
          <w:rFonts w:hint="eastAsia" w:ascii="宋体" w:hAnsi="宋体"/>
          <w:color w:val="auto"/>
          <w:sz w:val="21"/>
          <w:szCs w:val="21"/>
          <w:highlight w:val="none"/>
        </w:rPr>
        <w:t>。</w:t>
      </w:r>
    </w:p>
    <w:p w14:paraId="4D95BCFD">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b/>
          <w:color w:val="auto"/>
          <w:sz w:val="21"/>
          <w:szCs w:val="21"/>
          <w:highlight w:val="none"/>
        </w:rPr>
      </w:pPr>
      <w:r>
        <w:rPr>
          <w:rFonts w:hint="eastAsia" w:ascii="宋体" w:hAnsi="宋体"/>
          <w:color w:val="auto"/>
          <w:sz w:val="21"/>
          <w:szCs w:val="21"/>
          <w:highlight w:val="none"/>
        </w:rPr>
        <w:t>承包方提供履约担保的形式、金额及期限的：</w:t>
      </w:r>
      <w:r>
        <w:rPr>
          <w:rFonts w:hint="eastAsia" w:ascii="宋体" w:hAnsi="宋体"/>
          <w:b/>
          <w:color w:val="auto"/>
          <w:sz w:val="21"/>
          <w:szCs w:val="21"/>
          <w:highlight w:val="none"/>
          <w:u w:val="single"/>
        </w:rPr>
        <w:t>形式：</w:t>
      </w:r>
      <w:r>
        <w:rPr>
          <w:rFonts w:ascii="Segoe UI Symbol" w:hAnsi="Segoe UI Symbol" w:cs="Segoe UI Symbol"/>
          <w:b/>
          <w:color w:val="auto"/>
          <w:sz w:val="21"/>
          <w:szCs w:val="21"/>
          <w:highlight w:val="none"/>
          <w:u w:val="single"/>
        </w:rPr>
        <w:t>☑</w:t>
      </w:r>
      <w:r>
        <w:rPr>
          <w:rFonts w:hint="eastAsia" w:ascii="Segoe UI Symbol" w:hAnsi="Segoe UI Symbol" w:cs="Segoe UI Symbol"/>
          <w:b/>
          <w:color w:val="auto"/>
          <w:sz w:val="21"/>
          <w:szCs w:val="21"/>
          <w:highlight w:val="none"/>
          <w:u w:val="single"/>
        </w:rPr>
        <w:t>银行电汇或网上银行支付</w:t>
      </w:r>
      <w:r>
        <w:rPr>
          <w:rFonts w:ascii="Segoe UI Symbol" w:hAnsi="Segoe UI Symbol" w:cs="Segoe UI Symbol"/>
          <w:b/>
          <w:color w:val="auto"/>
          <w:sz w:val="21"/>
          <w:szCs w:val="21"/>
          <w:highlight w:val="none"/>
          <w:u w:val="single"/>
        </w:rPr>
        <w:t>☑</w:t>
      </w:r>
      <w:r>
        <w:rPr>
          <w:rFonts w:hint="eastAsia" w:ascii="Segoe UI Symbol" w:hAnsi="Segoe UI Symbol" w:cs="Segoe UI Symbol"/>
          <w:b/>
          <w:color w:val="auto"/>
          <w:sz w:val="21"/>
          <w:szCs w:val="21"/>
          <w:highlight w:val="none"/>
          <w:u w:val="single"/>
        </w:rPr>
        <w:t>保函</w:t>
      </w:r>
      <w:r>
        <w:rPr>
          <w:rFonts w:ascii="Segoe UI Symbol" w:hAnsi="Segoe UI Symbol" w:cs="Segoe UI Symbol"/>
          <w:b/>
          <w:color w:val="auto"/>
          <w:sz w:val="21"/>
          <w:szCs w:val="21"/>
          <w:highlight w:val="none"/>
          <w:u w:val="single"/>
        </w:rPr>
        <w:t>☑</w:t>
      </w:r>
      <w:r>
        <w:rPr>
          <w:rFonts w:hint="eastAsia" w:ascii="Segoe UI Symbol" w:hAnsi="Segoe UI Symbol" w:cs="Segoe UI Symbol"/>
          <w:b/>
          <w:color w:val="auto"/>
          <w:sz w:val="21"/>
          <w:szCs w:val="21"/>
          <w:highlight w:val="none"/>
          <w:u w:val="single"/>
        </w:rPr>
        <w:t>支票</w:t>
      </w:r>
      <w:r>
        <w:rPr>
          <w:rFonts w:ascii="Segoe UI Symbol" w:hAnsi="Segoe UI Symbol" w:cs="Segoe UI Symbol"/>
          <w:b/>
          <w:color w:val="auto"/>
          <w:sz w:val="21"/>
          <w:szCs w:val="21"/>
          <w:highlight w:val="none"/>
          <w:u w:val="single"/>
        </w:rPr>
        <w:t>☑</w:t>
      </w:r>
      <w:r>
        <w:rPr>
          <w:rFonts w:hint="eastAsia" w:ascii="Segoe UI Symbol" w:hAnsi="Segoe UI Symbol" w:cs="Segoe UI Symbol"/>
          <w:b/>
          <w:color w:val="auto"/>
          <w:sz w:val="21"/>
          <w:szCs w:val="21"/>
          <w:highlight w:val="none"/>
          <w:u w:val="single"/>
        </w:rPr>
        <w:t>保证保险</w:t>
      </w:r>
      <w:r>
        <w:rPr>
          <w:rFonts w:hint="eastAsia" w:ascii="宋体" w:hAnsi="宋体"/>
          <w:b/>
          <w:color w:val="auto"/>
          <w:sz w:val="21"/>
          <w:szCs w:val="21"/>
          <w:highlight w:val="none"/>
          <w:u w:val="single"/>
        </w:rPr>
        <w:t>。金额：</w:t>
      </w:r>
      <w:r>
        <w:rPr>
          <w:rFonts w:hint="eastAsia" w:ascii="宋体" w:hAnsi="宋体"/>
          <w:b/>
          <w:color w:val="auto"/>
          <w:sz w:val="21"/>
          <w:szCs w:val="21"/>
          <w:highlight w:val="none"/>
          <w:u w:val="single"/>
          <w:lang w:val="en-US" w:eastAsia="zh-CN"/>
        </w:rPr>
        <w:t>成交</w:t>
      </w:r>
      <w:r>
        <w:rPr>
          <w:rFonts w:hint="eastAsia" w:ascii="宋体" w:hAnsi="宋体"/>
          <w:b/>
          <w:color w:val="auto"/>
          <w:sz w:val="21"/>
          <w:szCs w:val="21"/>
          <w:highlight w:val="none"/>
          <w:u w:val="single"/>
        </w:rPr>
        <w:t>价的</w:t>
      </w:r>
      <w:r>
        <w:rPr>
          <w:rFonts w:ascii="宋体" w:hAnsi="宋体"/>
          <w:b/>
          <w:color w:val="auto"/>
          <w:sz w:val="21"/>
          <w:szCs w:val="21"/>
          <w:highlight w:val="none"/>
          <w:u w:val="single"/>
        </w:rPr>
        <w:t>10%</w:t>
      </w:r>
      <w:r>
        <w:rPr>
          <w:rFonts w:hint="eastAsia" w:ascii="宋体" w:hAnsi="宋体"/>
          <w:b/>
          <w:color w:val="auto"/>
          <w:sz w:val="21"/>
          <w:szCs w:val="21"/>
          <w:highlight w:val="none"/>
          <w:u w:val="single"/>
        </w:rPr>
        <w:t>，提交时间：</w:t>
      </w:r>
      <w:r>
        <w:rPr>
          <w:rFonts w:hint="eastAsia" w:ascii="宋体" w:hAnsi="宋体"/>
          <w:b/>
          <w:color w:val="auto"/>
          <w:sz w:val="21"/>
          <w:szCs w:val="21"/>
          <w:highlight w:val="none"/>
          <w:u w:val="single"/>
          <w:lang w:val="en-US" w:eastAsia="zh-CN"/>
        </w:rPr>
        <w:t>成交</w:t>
      </w:r>
      <w:r>
        <w:rPr>
          <w:rFonts w:hint="eastAsia" w:ascii="宋体" w:hAnsi="宋体"/>
          <w:b/>
          <w:color w:val="auto"/>
          <w:sz w:val="21"/>
          <w:szCs w:val="21"/>
          <w:highlight w:val="none"/>
          <w:u w:val="single"/>
        </w:rPr>
        <w:t>通知书签发后，合同签订前。工程竣工验收合格后凭工程竣工验收合格证书和收据办理退还手续，履约保证金无息返还</w:t>
      </w:r>
      <w:r>
        <w:rPr>
          <w:rFonts w:hint="eastAsia" w:ascii="宋体" w:hAnsi="宋体"/>
          <w:b/>
          <w:color w:val="auto"/>
          <w:sz w:val="21"/>
          <w:szCs w:val="21"/>
          <w:highlight w:val="none"/>
        </w:rPr>
        <w:t>。</w:t>
      </w:r>
    </w:p>
    <w:p w14:paraId="079D5526">
      <w:pPr>
        <w:pStyle w:val="5"/>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4. </w:t>
      </w:r>
      <w:r>
        <w:rPr>
          <w:rFonts w:hint="eastAsia" w:ascii="宋体" w:hAnsi="宋体"/>
          <w:bCs w:val="0"/>
          <w:color w:val="auto"/>
          <w:sz w:val="21"/>
          <w:szCs w:val="21"/>
          <w:highlight w:val="none"/>
        </w:rPr>
        <w:t>监理人</w:t>
      </w:r>
    </w:p>
    <w:p w14:paraId="7D541400">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4.1</w:t>
      </w:r>
      <w:r>
        <w:rPr>
          <w:rFonts w:hint="eastAsia" w:ascii="宋体" w:hAnsi="宋体"/>
          <w:color w:val="auto"/>
          <w:sz w:val="21"/>
          <w:szCs w:val="21"/>
          <w:highlight w:val="none"/>
        </w:rPr>
        <w:t>监理人的一般规定</w:t>
      </w:r>
    </w:p>
    <w:p w14:paraId="4DE4652F">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关于监理人的监理内容：</w:t>
      </w:r>
      <w:r>
        <w:rPr>
          <w:rFonts w:hint="eastAsia" w:ascii="宋体" w:hAnsi="宋体"/>
          <w:color w:val="auto"/>
          <w:sz w:val="21"/>
          <w:szCs w:val="21"/>
          <w:highlight w:val="none"/>
          <w:u w:val="single"/>
        </w:rPr>
        <w:t>见监理合同</w:t>
      </w:r>
      <w:r>
        <w:rPr>
          <w:rFonts w:hint="eastAsia" w:ascii="宋体" w:hAnsi="宋体"/>
          <w:color w:val="auto"/>
          <w:sz w:val="21"/>
          <w:szCs w:val="21"/>
          <w:highlight w:val="none"/>
        </w:rPr>
        <w:t>。</w:t>
      </w:r>
    </w:p>
    <w:p w14:paraId="47FAE4B2">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关于监理人的监理权限：</w:t>
      </w:r>
      <w:r>
        <w:rPr>
          <w:rFonts w:hint="eastAsia" w:ascii="宋体" w:hAnsi="宋体"/>
          <w:color w:val="auto"/>
          <w:sz w:val="21"/>
          <w:szCs w:val="21"/>
          <w:highlight w:val="none"/>
          <w:u w:val="single"/>
        </w:rPr>
        <w:t>对本工程施工阶段的质量、进度、造价进行控制，以及对合同、安全、信息和现场进行管理，其中涉及到工程造价、工期、质量标准等事项的变更，需发包方书面确认</w:t>
      </w:r>
      <w:r>
        <w:rPr>
          <w:rFonts w:hint="eastAsia" w:ascii="宋体" w:hAnsi="宋体"/>
          <w:color w:val="auto"/>
          <w:sz w:val="21"/>
          <w:szCs w:val="21"/>
          <w:highlight w:val="none"/>
        </w:rPr>
        <w:t>。</w:t>
      </w:r>
    </w:p>
    <w:p w14:paraId="371B22E9">
      <w:pPr>
        <w:pageBreakBefore w:val="0"/>
        <w:kinsoku/>
        <w:wordWrap/>
        <w:overflowPunct/>
        <w:topLinePunct w:val="0"/>
        <w:autoSpaceDE/>
        <w:autoSpaceDN/>
        <w:bidi w:val="0"/>
        <w:adjustRightInd/>
        <w:snapToGrid w:val="0"/>
        <w:spacing w:line="312" w:lineRule="auto"/>
        <w:ind w:right="-240" w:rightChars="-100" w:firstLine="420"/>
        <w:textAlignment w:val="auto"/>
        <w:rPr>
          <w:rFonts w:ascii="宋体" w:hAnsi="宋体"/>
          <w:color w:val="auto"/>
          <w:sz w:val="21"/>
          <w:szCs w:val="21"/>
          <w:highlight w:val="none"/>
        </w:rPr>
      </w:pPr>
      <w:r>
        <w:rPr>
          <w:rFonts w:hint="eastAsia" w:ascii="宋体" w:hAnsi="宋体"/>
          <w:color w:val="auto"/>
          <w:sz w:val="21"/>
          <w:szCs w:val="21"/>
          <w:highlight w:val="none"/>
        </w:rPr>
        <w:t>关于监理人在施工现场的办公场所、生活场所的提供和费用承担的约定：</w:t>
      </w:r>
      <w:r>
        <w:rPr>
          <w:rFonts w:hint="eastAsia" w:ascii="宋体" w:hAnsi="宋体"/>
          <w:color w:val="auto"/>
          <w:sz w:val="21"/>
          <w:szCs w:val="21"/>
          <w:highlight w:val="none"/>
          <w:u w:val="single"/>
        </w:rPr>
        <w:t>由承包方提供办公场所</w:t>
      </w:r>
      <w:r>
        <w:rPr>
          <w:rFonts w:hint="eastAsia" w:ascii="宋体" w:hAnsi="宋体"/>
          <w:color w:val="auto"/>
          <w:sz w:val="21"/>
          <w:szCs w:val="21"/>
          <w:highlight w:val="none"/>
        </w:rPr>
        <w:t>。</w:t>
      </w:r>
    </w:p>
    <w:p w14:paraId="6A3AB11F">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4.2 </w:t>
      </w:r>
      <w:r>
        <w:rPr>
          <w:rFonts w:hint="eastAsia" w:ascii="宋体" w:hAnsi="宋体"/>
          <w:color w:val="auto"/>
          <w:sz w:val="21"/>
          <w:szCs w:val="21"/>
          <w:highlight w:val="none"/>
        </w:rPr>
        <w:t>监理人员</w:t>
      </w:r>
    </w:p>
    <w:p w14:paraId="1DC64C6D">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总监理工程师：</w:t>
      </w:r>
    </w:p>
    <w:p w14:paraId="1782FC6A">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姓名：；</w:t>
      </w:r>
    </w:p>
    <w:p w14:paraId="43E0097E">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职务：；</w:t>
      </w:r>
    </w:p>
    <w:p w14:paraId="2DF36CE6">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监理工程师执业资格证书号：；</w:t>
      </w:r>
    </w:p>
    <w:p w14:paraId="419AEF17">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联系电话：；</w:t>
      </w:r>
    </w:p>
    <w:p w14:paraId="6F5B4CC4">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电子信箱：；</w:t>
      </w:r>
    </w:p>
    <w:p w14:paraId="41B2ED4A">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通信地址：；</w:t>
      </w:r>
    </w:p>
    <w:p w14:paraId="6D00F97F">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关于监理人的其他约定：。</w:t>
      </w:r>
    </w:p>
    <w:p w14:paraId="54ED82DA">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4.</w:t>
      </w:r>
      <w:r>
        <w:rPr>
          <w:rFonts w:hint="eastAsia" w:ascii="宋体" w:hAnsi="宋体"/>
          <w:color w:val="auto"/>
          <w:sz w:val="21"/>
          <w:szCs w:val="21"/>
          <w:highlight w:val="none"/>
        </w:rPr>
        <w:t>4商定或确定</w:t>
      </w:r>
    </w:p>
    <w:p w14:paraId="299F3498">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在发包方和承包方不能通过协商达成一致意见时，发包方授权监理人对以下事项进行确定：</w:t>
      </w:r>
    </w:p>
    <w:p w14:paraId="285CC1DF">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1</w:t>
      </w:r>
      <w:r>
        <w:rPr>
          <w:rFonts w:hint="eastAsia" w:ascii="宋体" w:hAnsi="宋体"/>
          <w:color w:val="auto"/>
          <w:sz w:val="21"/>
          <w:szCs w:val="21"/>
          <w:highlight w:val="none"/>
        </w:rPr>
        <w:t>）</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6CE967C6">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2</w:t>
      </w:r>
      <w:r>
        <w:rPr>
          <w:rFonts w:hint="eastAsia" w:ascii="宋体" w:hAnsi="宋体"/>
          <w:color w:val="auto"/>
          <w:sz w:val="21"/>
          <w:szCs w:val="21"/>
          <w:highlight w:val="none"/>
        </w:rPr>
        <w:t>）</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580838F1">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3</w:t>
      </w:r>
      <w:r>
        <w:rPr>
          <w:rFonts w:hint="eastAsia" w:ascii="宋体" w:hAnsi="宋体"/>
          <w:color w:val="auto"/>
          <w:sz w:val="21"/>
          <w:szCs w:val="21"/>
          <w:highlight w:val="none"/>
        </w:rPr>
        <w:t>）</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701A8AAA">
      <w:pPr>
        <w:pStyle w:val="5"/>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5. </w:t>
      </w:r>
      <w:r>
        <w:rPr>
          <w:rFonts w:hint="eastAsia" w:ascii="宋体" w:hAnsi="宋体"/>
          <w:bCs w:val="0"/>
          <w:color w:val="auto"/>
          <w:sz w:val="21"/>
          <w:szCs w:val="21"/>
          <w:highlight w:val="none"/>
        </w:rPr>
        <w:t>工程质量</w:t>
      </w:r>
    </w:p>
    <w:p w14:paraId="434F14C0">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5.1 </w:t>
      </w:r>
      <w:r>
        <w:rPr>
          <w:rFonts w:hint="eastAsia" w:ascii="宋体" w:hAnsi="宋体"/>
          <w:color w:val="auto"/>
          <w:sz w:val="21"/>
          <w:szCs w:val="21"/>
          <w:highlight w:val="none"/>
        </w:rPr>
        <w:t>质量要求</w:t>
      </w:r>
    </w:p>
    <w:p w14:paraId="61116B9E">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5.1.1 </w:t>
      </w:r>
      <w:r>
        <w:rPr>
          <w:rFonts w:hint="eastAsia" w:ascii="宋体" w:hAnsi="宋体"/>
          <w:color w:val="auto"/>
          <w:sz w:val="21"/>
          <w:szCs w:val="21"/>
          <w:highlight w:val="none"/>
        </w:rPr>
        <w:t>特殊质量标准和要求：</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074ADD10">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关于工程奖项的约定：</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15E03390">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5.</w:t>
      </w:r>
      <w:r>
        <w:rPr>
          <w:rFonts w:hint="eastAsia" w:ascii="宋体" w:hAnsi="宋体"/>
          <w:color w:val="auto"/>
          <w:sz w:val="21"/>
          <w:szCs w:val="21"/>
          <w:highlight w:val="none"/>
        </w:rPr>
        <w:t>3隐蔽工程检查</w:t>
      </w:r>
    </w:p>
    <w:p w14:paraId="4E4AE876">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5.</w:t>
      </w:r>
      <w:r>
        <w:rPr>
          <w:rFonts w:hint="eastAsia" w:ascii="宋体" w:hAnsi="宋体"/>
          <w:color w:val="auto"/>
          <w:sz w:val="21"/>
          <w:szCs w:val="21"/>
          <w:highlight w:val="none"/>
        </w:rPr>
        <w:t>3</w:t>
      </w:r>
      <w:r>
        <w:rPr>
          <w:rFonts w:ascii="宋体" w:hAnsi="宋体"/>
          <w:color w:val="auto"/>
          <w:sz w:val="21"/>
          <w:szCs w:val="21"/>
          <w:highlight w:val="none"/>
        </w:rPr>
        <w:t>.</w:t>
      </w:r>
      <w:r>
        <w:rPr>
          <w:rFonts w:hint="eastAsia" w:ascii="宋体" w:hAnsi="宋体"/>
          <w:color w:val="auto"/>
          <w:sz w:val="21"/>
          <w:szCs w:val="21"/>
          <w:highlight w:val="none"/>
        </w:rPr>
        <w:t>2承包方提前通知监理人隐蔽工程检查的期限的约定：</w:t>
      </w:r>
      <w:r>
        <w:rPr>
          <w:rFonts w:hint="eastAsia" w:ascii="宋体" w:hAnsi="宋体"/>
          <w:color w:val="auto"/>
          <w:sz w:val="21"/>
          <w:szCs w:val="21"/>
          <w:highlight w:val="none"/>
          <w:u w:val="single"/>
        </w:rPr>
        <w:t>检查前48小时书面通知监理人检查</w:t>
      </w:r>
      <w:r>
        <w:rPr>
          <w:rFonts w:hint="eastAsia" w:ascii="宋体" w:hAnsi="宋体"/>
          <w:color w:val="auto"/>
          <w:sz w:val="21"/>
          <w:szCs w:val="21"/>
          <w:highlight w:val="none"/>
        </w:rPr>
        <w:t>。</w:t>
      </w:r>
    </w:p>
    <w:p w14:paraId="5CB135A1">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监理人不能按时进行检查时，应提前</w:t>
      </w:r>
      <w:r>
        <w:rPr>
          <w:rFonts w:ascii="宋体" w:hAnsi="宋体"/>
          <w:color w:val="auto"/>
          <w:sz w:val="21"/>
          <w:szCs w:val="21"/>
          <w:highlight w:val="none"/>
          <w:u w:val="single"/>
        </w:rPr>
        <w:t xml:space="preserve"> 24 </w:t>
      </w:r>
      <w:r>
        <w:rPr>
          <w:rFonts w:hint="eastAsia" w:ascii="宋体" w:hAnsi="宋体"/>
          <w:color w:val="auto"/>
          <w:sz w:val="21"/>
          <w:szCs w:val="21"/>
          <w:highlight w:val="none"/>
        </w:rPr>
        <w:t>小时提交书面延期要求。</w:t>
      </w:r>
    </w:p>
    <w:p w14:paraId="6213E175">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关于延期最长不得超过：</w:t>
      </w:r>
      <w:r>
        <w:rPr>
          <w:rFonts w:ascii="宋体" w:hAnsi="宋体"/>
          <w:color w:val="auto"/>
          <w:sz w:val="21"/>
          <w:szCs w:val="21"/>
          <w:highlight w:val="none"/>
          <w:u w:val="single"/>
        </w:rPr>
        <w:t xml:space="preserve"> 48 </w:t>
      </w:r>
      <w:r>
        <w:rPr>
          <w:rFonts w:hint="eastAsia" w:ascii="宋体" w:hAnsi="宋体"/>
          <w:color w:val="auto"/>
          <w:sz w:val="21"/>
          <w:szCs w:val="21"/>
          <w:highlight w:val="none"/>
        </w:rPr>
        <w:t>小时。</w:t>
      </w:r>
    </w:p>
    <w:p w14:paraId="67A36B3D">
      <w:pPr>
        <w:pStyle w:val="5"/>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6. </w:t>
      </w:r>
      <w:r>
        <w:rPr>
          <w:rFonts w:hint="eastAsia" w:ascii="宋体" w:hAnsi="宋体"/>
          <w:bCs w:val="0"/>
          <w:color w:val="auto"/>
          <w:sz w:val="21"/>
          <w:szCs w:val="21"/>
          <w:highlight w:val="none"/>
        </w:rPr>
        <w:t>安全文明施工与环境保护</w:t>
      </w:r>
    </w:p>
    <w:p w14:paraId="0458C1C4">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6.1</w:t>
      </w:r>
      <w:r>
        <w:rPr>
          <w:rFonts w:hint="eastAsia" w:ascii="宋体" w:hAnsi="宋体"/>
          <w:color w:val="auto"/>
          <w:sz w:val="21"/>
          <w:szCs w:val="21"/>
          <w:highlight w:val="none"/>
        </w:rPr>
        <w:t>安全文明施工</w:t>
      </w:r>
    </w:p>
    <w:p w14:paraId="3905C63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6.1.1 </w:t>
      </w:r>
      <w:r>
        <w:rPr>
          <w:rFonts w:hint="eastAsia" w:ascii="宋体" w:hAnsi="宋体"/>
          <w:color w:val="auto"/>
          <w:sz w:val="21"/>
          <w:szCs w:val="21"/>
          <w:highlight w:val="none"/>
        </w:rPr>
        <w:t>项目安全生产的达标目标及相应事项的约定：</w:t>
      </w:r>
      <w:r>
        <w:rPr>
          <w:rFonts w:ascii="宋体" w:hAnsi="宋体"/>
          <w:color w:val="auto"/>
          <w:sz w:val="21"/>
          <w:szCs w:val="21"/>
          <w:highlight w:val="none"/>
        </w:rPr>
        <w:t xml:space="preserve"> </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336AA17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6.1.</w:t>
      </w:r>
      <w:r>
        <w:rPr>
          <w:rFonts w:hint="eastAsia" w:ascii="宋体" w:hAnsi="宋体"/>
          <w:color w:val="auto"/>
          <w:sz w:val="21"/>
          <w:szCs w:val="21"/>
          <w:highlight w:val="none"/>
          <w:lang w:val="en-US" w:eastAsia="zh-CN"/>
        </w:rPr>
        <w:t>2</w:t>
      </w:r>
      <w:r>
        <w:rPr>
          <w:rFonts w:ascii="宋体" w:hAnsi="宋体"/>
          <w:color w:val="auto"/>
          <w:sz w:val="21"/>
          <w:szCs w:val="21"/>
          <w:highlight w:val="none"/>
        </w:rPr>
        <w:t xml:space="preserve"> </w:t>
      </w:r>
      <w:r>
        <w:rPr>
          <w:rFonts w:hint="eastAsia" w:ascii="宋体" w:hAnsi="宋体"/>
          <w:color w:val="auto"/>
          <w:sz w:val="21"/>
          <w:szCs w:val="21"/>
          <w:highlight w:val="none"/>
        </w:rPr>
        <w:t>关于治安保卫的特别约定：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执行通用条款</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w:t>
      </w:r>
    </w:p>
    <w:p w14:paraId="347B33F9">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 xml:space="preserve">关于编制施工场地治安管理计划的约定： </w:t>
      </w:r>
      <w:r>
        <w:rPr>
          <w:rFonts w:hint="eastAsia" w:ascii="宋体" w:hAnsi="宋体"/>
          <w:color w:val="auto"/>
          <w:sz w:val="21"/>
          <w:szCs w:val="21"/>
          <w:highlight w:val="none"/>
          <w:u w:val="single"/>
        </w:rPr>
        <w:t xml:space="preserve">   执行通用条款</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w:t>
      </w:r>
    </w:p>
    <w:p w14:paraId="32746F7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6.1.</w:t>
      </w:r>
      <w:r>
        <w:rPr>
          <w:rFonts w:hint="eastAsia" w:ascii="宋体" w:hAnsi="宋体"/>
          <w:color w:val="auto"/>
          <w:sz w:val="21"/>
          <w:szCs w:val="21"/>
          <w:highlight w:val="none"/>
          <w:lang w:val="en-US" w:eastAsia="zh-CN"/>
        </w:rPr>
        <w:t>3</w:t>
      </w:r>
      <w:r>
        <w:rPr>
          <w:rFonts w:ascii="宋体" w:hAnsi="宋体"/>
          <w:color w:val="auto"/>
          <w:sz w:val="21"/>
          <w:szCs w:val="21"/>
          <w:highlight w:val="none"/>
        </w:rPr>
        <w:t xml:space="preserve"> </w:t>
      </w:r>
      <w:r>
        <w:rPr>
          <w:rFonts w:hint="eastAsia" w:ascii="宋体" w:hAnsi="宋体"/>
          <w:color w:val="auto"/>
          <w:sz w:val="21"/>
          <w:szCs w:val="21"/>
          <w:highlight w:val="none"/>
        </w:rPr>
        <w:t>文明施工</w:t>
      </w:r>
    </w:p>
    <w:p w14:paraId="65BE322F">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合同当事人对文明施工的要求：</w:t>
      </w:r>
      <w:r>
        <w:rPr>
          <w:rFonts w:hint="eastAsia" w:ascii="宋体" w:hAnsi="宋体"/>
          <w:color w:val="auto"/>
          <w:sz w:val="21"/>
          <w:szCs w:val="21"/>
          <w:highlight w:val="none"/>
          <w:u w:val="single"/>
          <w:lang w:val="en-US" w:eastAsia="zh-CN"/>
        </w:rPr>
        <w:t>/</w:t>
      </w:r>
      <w:r>
        <w:rPr>
          <w:rFonts w:hint="eastAsia" w:ascii="宋体" w:hAnsi="宋体"/>
          <w:color w:val="auto"/>
          <w:sz w:val="21"/>
          <w:szCs w:val="21"/>
          <w:highlight w:val="none"/>
        </w:rPr>
        <w:t>。</w:t>
      </w:r>
    </w:p>
    <w:p w14:paraId="082439D3">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6.1.</w:t>
      </w:r>
      <w:r>
        <w:rPr>
          <w:rFonts w:hint="eastAsia" w:ascii="宋体" w:hAnsi="宋体"/>
          <w:color w:val="auto"/>
          <w:sz w:val="21"/>
          <w:szCs w:val="21"/>
          <w:highlight w:val="none"/>
          <w:lang w:val="en-US" w:eastAsia="zh-CN"/>
        </w:rPr>
        <w:t>4</w:t>
      </w:r>
      <w:r>
        <w:rPr>
          <w:rFonts w:hint="eastAsia" w:ascii="宋体" w:hAnsi="宋体"/>
          <w:color w:val="auto"/>
          <w:sz w:val="21"/>
          <w:szCs w:val="21"/>
          <w:highlight w:val="none"/>
        </w:rPr>
        <w:t>关于安全文明施工费支付比例和支付期限的约定：</w:t>
      </w:r>
      <w:r>
        <w:rPr>
          <w:rFonts w:hint="eastAsia" w:ascii="宋体" w:hAnsi="宋体"/>
          <w:color w:val="auto"/>
          <w:sz w:val="21"/>
          <w:szCs w:val="21"/>
          <w:highlight w:val="none"/>
          <w:u w:val="single"/>
        </w:rPr>
        <w:t>按国家规定比例，该费用包含在首次付款中</w:t>
      </w:r>
      <w:r>
        <w:rPr>
          <w:rFonts w:hint="eastAsia" w:ascii="宋体" w:hAnsi="宋体"/>
          <w:color w:val="auto"/>
          <w:sz w:val="21"/>
          <w:szCs w:val="21"/>
          <w:highlight w:val="none"/>
        </w:rPr>
        <w:t>。</w:t>
      </w:r>
    </w:p>
    <w:p w14:paraId="757DFF46">
      <w:pPr>
        <w:pStyle w:val="5"/>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7. </w:t>
      </w:r>
      <w:r>
        <w:rPr>
          <w:rFonts w:hint="eastAsia" w:ascii="宋体" w:hAnsi="宋体"/>
          <w:bCs w:val="0"/>
          <w:color w:val="auto"/>
          <w:sz w:val="21"/>
          <w:szCs w:val="21"/>
          <w:highlight w:val="none"/>
        </w:rPr>
        <w:t>工期和进度</w:t>
      </w:r>
    </w:p>
    <w:p w14:paraId="343D490A">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7.1 </w:t>
      </w:r>
      <w:r>
        <w:rPr>
          <w:rFonts w:hint="eastAsia" w:ascii="宋体" w:hAnsi="宋体"/>
          <w:color w:val="auto"/>
          <w:sz w:val="21"/>
          <w:szCs w:val="21"/>
          <w:highlight w:val="none"/>
        </w:rPr>
        <w:t>施工组织设计</w:t>
      </w:r>
    </w:p>
    <w:p w14:paraId="34959103">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7.1.1 </w:t>
      </w:r>
      <w:r>
        <w:rPr>
          <w:rFonts w:hint="eastAsia" w:ascii="宋体" w:hAnsi="宋体"/>
          <w:color w:val="auto"/>
          <w:sz w:val="21"/>
          <w:szCs w:val="21"/>
          <w:highlight w:val="none"/>
        </w:rPr>
        <w:t>合同当事人约定的施工组织设计应包括的其他内容：</w:t>
      </w:r>
      <w:r>
        <w:rPr>
          <w:rFonts w:hint="eastAsia" w:ascii="宋体" w:hAnsi="宋体"/>
          <w:color w:val="auto"/>
          <w:sz w:val="21"/>
          <w:szCs w:val="21"/>
          <w:highlight w:val="none"/>
          <w:u w:val="single"/>
          <w:lang w:val="en-US" w:eastAsia="zh-CN"/>
        </w:rPr>
        <w:t>/</w:t>
      </w:r>
      <w:r>
        <w:rPr>
          <w:rFonts w:hint="eastAsia" w:ascii="宋体" w:hAnsi="宋体"/>
          <w:color w:val="auto"/>
          <w:sz w:val="21"/>
          <w:szCs w:val="21"/>
          <w:highlight w:val="none"/>
        </w:rPr>
        <w:t>。</w:t>
      </w:r>
    </w:p>
    <w:p w14:paraId="7981718F">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7.1.2 </w:t>
      </w:r>
      <w:r>
        <w:rPr>
          <w:rFonts w:hint="eastAsia" w:ascii="宋体" w:hAnsi="宋体"/>
          <w:color w:val="auto"/>
          <w:sz w:val="21"/>
          <w:szCs w:val="21"/>
          <w:highlight w:val="none"/>
        </w:rPr>
        <w:t>施工组织设计的提交和修改</w:t>
      </w:r>
    </w:p>
    <w:p w14:paraId="6A282E72">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承包方提交详细施工组织设计的期限的约定：</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5BB48AE3">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发包方和监理人在收到详细的施工组织设计后确认或提出修改意见的期限：</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1BD224E1">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7.2 </w:t>
      </w:r>
      <w:r>
        <w:rPr>
          <w:rFonts w:hint="eastAsia" w:ascii="宋体" w:hAnsi="宋体"/>
          <w:color w:val="auto"/>
          <w:sz w:val="21"/>
          <w:szCs w:val="21"/>
          <w:highlight w:val="none"/>
        </w:rPr>
        <w:t>施工进度计划</w:t>
      </w:r>
    </w:p>
    <w:p w14:paraId="76D4723C">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7.2.</w:t>
      </w:r>
      <w:r>
        <w:rPr>
          <w:rFonts w:hint="eastAsia" w:ascii="宋体" w:hAnsi="宋体"/>
          <w:color w:val="auto"/>
          <w:sz w:val="21"/>
          <w:szCs w:val="21"/>
          <w:highlight w:val="none"/>
        </w:rPr>
        <w:t>2施工进度计划的修订</w:t>
      </w:r>
    </w:p>
    <w:p w14:paraId="02356C32">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发包方和监理人在收到修订的施工进度计划后确认或提出修改意见的期限：</w:t>
      </w:r>
      <w:r>
        <w:rPr>
          <w:rFonts w:hint="eastAsia" w:ascii="宋体" w:hAnsi="宋体"/>
          <w:color w:val="auto"/>
          <w:sz w:val="21"/>
          <w:szCs w:val="21"/>
          <w:highlight w:val="none"/>
          <w:u w:val="single"/>
        </w:rPr>
        <w:t>5个工作日内</w:t>
      </w:r>
      <w:r>
        <w:rPr>
          <w:rFonts w:hint="eastAsia" w:ascii="宋体" w:hAnsi="宋体"/>
          <w:color w:val="auto"/>
          <w:sz w:val="21"/>
          <w:szCs w:val="21"/>
          <w:highlight w:val="none"/>
        </w:rPr>
        <w:t>。</w:t>
      </w:r>
    </w:p>
    <w:p w14:paraId="1C5ABDA4">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7.3 </w:t>
      </w:r>
      <w:r>
        <w:rPr>
          <w:rFonts w:hint="eastAsia" w:ascii="宋体" w:hAnsi="宋体"/>
          <w:color w:val="auto"/>
          <w:sz w:val="21"/>
          <w:szCs w:val="21"/>
          <w:highlight w:val="none"/>
        </w:rPr>
        <w:t>开工</w:t>
      </w:r>
    </w:p>
    <w:p w14:paraId="23944276">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7.3.1 </w:t>
      </w:r>
      <w:r>
        <w:rPr>
          <w:rFonts w:hint="eastAsia" w:ascii="宋体" w:hAnsi="宋体"/>
          <w:color w:val="auto"/>
          <w:sz w:val="21"/>
          <w:szCs w:val="21"/>
          <w:highlight w:val="none"/>
        </w:rPr>
        <w:t>开工准备</w:t>
      </w:r>
    </w:p>
    <w:p w14:paraId="00769198">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关于承包方提交工程开工报审表的期限：</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12151508">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关于发包方应完成的其他开工准备工作及期限：</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52A89AC1">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关于承包方应完成的其他开工准备工作及期限：</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7D0326C5">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7.3.2</w:t>
      </w:r>
      <w:r>
        <w:rPr>
          <w:rFonts w:hint="eastAsia" w:ascii="宋体" w:hAnsi="宋体"/>
          <w:color w:val="auto"/>
          <w:sz w:val="21"/>
          <w:szCs w:val="21"/>
          <w:highlight w:val="none"/>
        </w:rPr>
        <w:t>开工通知</w:t>
      </w:r>
    </w:p>
    <w:p w14:paraId="093CC7C8">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因发包方原因造成监理人未能在计划开工日期之日起</w:t>
      </w:r>
      <w:r>
        <w:rPr>
          <w:rFonts w:hint="eastAsia" w:ascii="宋体" w:hAnsi="宋体"/>
          <w:color w:val="auto"/>
          <w:sz w:val="21"/>
          <w:szCs w:val="21"/>
          <w:highlight w:val="none"/>
          <w:u w:val="single"/>
          <w:lang w:val="en-US" w:eastAsia="zh-CN"/>
        </w:rPr>
        <w:t>9</w:t>
      </w:r>
      <w:r>
        <w:rPr>
          <w:rFonts w:hint="eastAsia" w:ascii="宋体" w:hAnsi="宋体"/>
          <w:color w:val="auto"/>
          <w:sz w:val="21"/>
          <w:szCs w:val="21"/>
          <w:highlight w:val="none"/>
          <w:u w:val="single"/>
          <w:lang w:eastAsia="zh-CN"/>
        </w:rPr>
        <w:t>0天</w:t>
      </w:r>
      <w:r>
        <w:rPr>
          <w:rFonts w:hint="eastAsia" w:ascii="宋体" w:hAnsi="宋体"/>
          <w:color w:val="auto"/>
          <w:sz w:val="21"/>
          <w:szCs w:val="21"/>
          <w:highlight w:val="none"/>
        </w:rPr>
        <w:t>内发出开工通知的，承包方有权提出价格调整要求，或者解除合同。</w:t>
      </w:r>
    </w:p>
    <w:p w14:paraId="64BFEAB2">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7.4 </w:t>
      </w:r>
      <w:r>
        <w:rPr>
          <w:rFonts w:hint="eastAsia" w:ascii="宋体" w:hAnsi="宋体"/>
          <w:color w:val="auto"/>
          <w:sz w:val="21"/>
          <w:szCs w:val="21"/>
          <w:highlight w:val="none"/>
        </w:rPr>
        <w:t>测量放线</w:t>
      </w:r>
    </w:p>
    <w:p w14:paraId="4BB4C870">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u w:val="single"/>
        </w:rPr>
      </w:pPr>
      <w:r>
        <w:rPr>
          <w:rFonts w:ascii="宋体" w:hAnsi="宋体"/>
          <w:color w:val="auto"/>
          <w:sz w:val="21"/>
          <w:szCs w:val="21"/>
          <w:highlight w:val="none"/>
        </w:rPr>
        <w:t>7.4.1</w:t>
      </w:r>
      <w:r>
        <w:rPr>
          <w:rFonts w:hint="eastAsia" w:ascii="宋体" w:hAnsi="宋体"/>
          <w:color w:val="auto"/>
          <w:sz w:val="21"/>
          <w:szCs w:val="21"/>
          <w:highlight w:val="none"/>
        </w:rPr>
        <w:t>发包方通过监理人向承包方提供测量基准点、基准线和水准点及其书面资料的期限：</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6C0E0CBB">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7.5 </w:t>
      </w:r>
      <w:r>
        <w:rPr>
          <w:rFonts w:hint="eastAsia" w:ascii="宋体" w:hAnsi="宋体"/>
          <w:color w:val="auto"/>
          <w:sz w:val="21"/>
          <w:szCs w:val="21"/>
          <w:highlight w:val="none"/>
        </w:rPr>
        <w:t>工期延误</w:t>
      </w:r>
    </w:p>
    <w:p w14:paraId="5D754C15">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7.5.1 </w:t>
      </w:r>
      <w:r>
        <w:rPr>
          <w:rFonts w:hint="eastAsia" w:ascii="宋体" w:hAnsi="宋体"/>
          <w:color w:val="auto"/>
          <w:sz w:val="21"/>
          <w:szCs w:val="21"/>
          <w:highlight w:val="none"/>
        </w:rPr>
        <w:t>因发包方原因导致工期延误</w:t>
      </w:r>
    </w:p>
    <w:p w14:paraId="4CCEBDA6">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（7）因发包方原因导致工期延误的其他情形：</w:t>
      </w:r>
      <w:r>
        <w:rPr>
          <w:rFonts w:hint="eastAsia" w:ascii="宋体" w:hAnsi="宋体"/>
          <w:color w:val="auto"/>
          <w:sz w:val="21"/>
          <w:szCs w:val="21"/>
          <w:highlight w:val="none"/>
          <w:u w:val="single"/>
        </w:rPr>
        <w:t>通用条款 7.5.1 中（1）至（6）条造成的工期延误（</w:t>
      </w:r>
      <w:r>
        <w:rPr>
          <w:color w:val="auto"/>
          <w:sz w:val="21"/>
          <w:szCs w:val="21"/>
          <w:highlight w:val="none"/>
          <w:u w:val="single"/>
        </w:rPr>
        <w:t>按照</w:t>
      </w:r>
      <w:r>
        <w:rPr>
          <w:rFonts w:hint="eastAsia"/>
          <w:color w:val="auto"/>
          <w:sz w:val="21"/>
          <w:szCs w:val="21"/>
          <w:highlight w:val="none"/>
          <w:u w:val="single"/>
        </w:rPr>
        <w:t>合同</w:t>
      </w:r>
      <w:r>
        <w:rPr>
          <w:color w:val="auto"/>
          <w:sz w:val="21"/>
          <w:szCs w:val="21"/>
          <w:highlight w:val="none"/>
          <w:u w:val="single"/>
        </w:rPr>
        <w:t>约定</w:t>
      </w:r>
      <w:r>
        <w:rPr>
          <w:rFonts w:hint="eastAsia"/>
          <w:color w:val="auto"/>
          <w:sz w:val="21"/>
          <w:szCs w:val="21"/>
          <w:highlight w:val="none"/>
          <w:u w:val="single"/>
        </w:rPr>
        <w:t>和泰兴市关于政府投资工程建设全过程管理实施导则6.3（关于加强合同工期管理）要求</w:t>
      </w:r>
      <w:r>
        <w:rPr>
          <w:rFonts w:hint="eastAsia" w:ascii="宋体" w:hAnsi="宋体"/>
          <w:color w:val="auto"/>
          <w:sz w:val="21"/>
          <w:szCs w:val="21"/>
          <w:highlight w:val="none"/>
          <w:u w:val="single"/>
        </w:rPr>
        <w:t>）经</w:t>
      </w:r>
      <w:r>
        <w:rPr>
          <w:rFonts w:hint="eastAsia" w:ascii="MingLiU_HKSCS" w:hAnsi="MingLiU_HKSCS" w:cs="MingLiU_HKSCS"/>
          <w:color w:val="auto"/>
          <w:sz w:val="21"/>
          <w:szCs w:val="21"/>
          <w:highlight w:val="none"/>
          <w:u w:val="single"/>
        </w:rPr>
        <w:t>报批确认后</w:t>
      </w:r>
      <w:r>
        <w:rPr>
          <w:rFonts w:hint="eastAsia" w:ascii="宋体" w:hAnsi="宋体"/>
          <w:color w:val="auto"/>
          <w:sz w:val="21"/>
          <w:szCs w:val="21"/>
          <w:highlight w:val="none"/>
          <w:u w:val="single"/>
        </w:rPr>
        <w:t>予以顺延，但费用不予以索赔</w:t>
      </w:r>
      <w:r>
        <w:rPr>
          <w:rFonts w:hint="eastAsia" w:ascii="宋体" w:hAnsi="宋体"/>
          <w:color w:val="auto"/>
          <w:sz w:val="21"/>
          <w:szCs w:val="21"/>
          <w:highlight w:val="none"/>
        </w:rPr>
        <w:t>。</w:t>
      </w:r>
    </w:p>
    <w:p w14:paraId="73ACA626">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7.5.2 </w:t>
      </w:r>
      <w:r>
        <w:rPr>
          <w:rFonts w:hint="eastAsia" w:ascii="宋体" w:hAnsi="宋体"/>
          <w:color w:val="auto"/>
          <w:sz w:val="21"/>
          <w:szCs w:val="21"/>
          <w:highlight w:val="none"/>
        </w:rPr>
        <w:t>因承包方原因导致工期延误</w:t>
      </w:r>
    </w:p>
    <w:p w14:paraId="0A2E8FDD">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因承包方原因造成工期延误，逾期竣工违约金的计算方法为：</w:t>
      </w:r>
      <w:r>
        <w:rPr>
          <w:rFonts w:hint="eastAsia" w:ascii="宋体" w:hAnsi="宋体"/>
          <w:color w:val="auto"/>
          <w:sz w:val="21"/>
          <w:szCs w:val="21"/>
          <w:highlight w:val="none"/>
          <w:u w:val="single"/>
        </w:rPr>
        <w:t>实际施工工期延误，未能在合同工期内竣工验收合格的，每逾期1天，违约金按1000元人民币/天计算；逾期超过30天的，发包方有权解除合同，承包方按上述约定承担违约金</w:t>
      </w:r>
      <w:r>
        <w:rPr>
          <w:rFonts w:hint="eastAsia" w:ascii="宋体" w:hAnsi="宋体"/>
          <w:color w:val="auto"/>
          <w:sz w:val="21"/>
          <w:szCs w:val="21"/>
          <w:highlight w:val="none"/>
        </w:rPr>
        <w:t>。</w:t>
      </w:r>
    </w:p>
    <w:p w14:paraId="46C4F73F">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因承包方原因造成工期延误，逾期竣工违约金的上限：</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69F44080">
      <w:pPr>
        <w:pageBreakBefore w:val="0"/>
        <w:widowControl w:val="0"/>
        <w:kinsoku/>
        <w:wordWrap/>
        <w:overflowPunct/>
        <w:topLinePunct w:val="0"/>
        <w:autoSpaceDE/>
        <w:autoSpaceDN/>
        <w:bidi w:val="0"/>
        <w:adjustRightInd/>
        <w:snapToGrid w:val="0"/>
        <w:spacing w:line="324"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7.6 </w:t>
      </w:r>
      <w:r>
        <w:rPr>
          <w:rFonts w:hint="eastAsia" w:ascii="宋体" w:hAnsi="宋体"/>
          <w:color w:val="auto"/>
          <w:sz w:val="21"/>
          <w:szCs w:val="21"/>
          <w:highlight w:val="none"/>
        </w:rPr>
        <w:t>不利物质条件</w:t>
      </w:r>
    </w:p>
    <w:p w14:paraId="01D460AA">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不利物质条件的其他情形和有关约定：</w:t>
      </w:r>
      <w:r>
        <w:rPr>
          <w:rFonts w:hint="eastAsia" w:ascii="宋体" w:hAnsi="宋体"/>
          <w:color w:val="auto"/>
          <w:sz w:val="21"/>
          <w:szCs w:val="21"/>
          <w:highlight w:val="none"/>
          <w:u w:val="single"/>
        </w:rPr>
        <w:t>如有，另行协商</w:t>
      </w:r>
      <w:r>
        <w:rPr>
          <w:rFonts w:hint="eastAsia" w:ascii="宋体" w:hAnsi="宋体"/>
          <w:color w:val="auto"/>
          <w:sz w:val="21"/>
          <w:szCs w:val="21"/>
          <w:highlight w:val="none"/>
        </w:rPr>
        <w:t>。</w:t>
      </w:r>
    </w:p>
    <w:p w14:paraId="6C4C96F2">
      <w:pPr>
        <w:pageBreakBefore w:val="0"/>
        <w:widowControl w:val="0"/>
        <w:kinsoku/>
        <w:wordWrap/>
        <w:overflowPunct/>
        <w:topLinePunct w:val="0"/>
        <w:autoSpaceDE/>
        <w:autoSpaceDN/>
        <w:bidi w:val="0"/>
        <w:adjustRightInd/>
        <w:snapToGrid w:val="0"/>
        <w:spacing w:line="324" w:lineRule="auto"/>
        <w:ind w:firstLine="420"/>
        <w:textAlignment w:val="auto"/>
        <w:rPr>
          <w:rFonts w:ascii="宋体" w:hAnsi="宋体"/>
          <w:color w:val="auto"/>
          <w:sz w:val="21"/>
          <w:szCs w:val="21"/>
          <w:highlight w:val="none"/>
        </w:rPr>
      </w:pPr>
      <w:r>
        <w:rPr>
          <w:rFonts w:ascii="宋体" w:hAnsi="宋体"/>
          <w:color w:val="auto"/>
          <w:sz w:val="21"/>
          <w:szCs w:val="21"/>
          <w:highlight w:val="none"/>
        </w:rPr>
        <w:t>7.7</w:t>
      </w:r>
      <w:r>
        <w:rPr>
          <w:rFonts w:hint="eastAsia" w:ascii="宋体" w:hAnsi="宋体"/>
          <w:color w:val="auto"/>
          <w:sz w:val="21"/>
          <w:szCs w:val="21"/>
          <w:highlight w:val="none"/>
        </w:rPr>
        <w:t>异常恶劣的气候条件</w:t>
      </w:r>
    </w:p>
    <w:p w14:paraId="6397007C">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发包方和承包方同意以下情形视为异常恶劣的气候条件：</w:t>
      </w:r>
    </w:p>
    <w:p w14:paraId="68922C5E">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u w:val="single"/>
        </w:rPr>
        <w:t>24 小时内降水量达到50—99.9mm的暴雨；</w:t>
      </w:r>
    </w:p>
    <w:p w14:paraId="221B6510">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（2）</w:t>
      </w:r>
      <w:r>
        <w:rPr>
          <w:rFonts w:hint="eastAsia" w:ascii="宋体" w:hAnsi="宋体"/>
          <w:color w:val="auto"/>
          <w:sz w:val="21"/>
          <w:szCs w:val="21"/>
          <w:highlight w:val="none"/>
          <w:u w:val="single"/>
        </w:rPr>
        <w:t>风速达到8级的台风；</w:t>
      </w:r>
    </w:p>
    <w:p w14:paraId="641C348C">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（3）</w:t>
      </w:r>
      <w:r>
        <w:rPr>
          <w:rFonts w:hint="eastAsia" w:ascii="宋体" w:hAnsi="宋体"/>
          <w:color w:val="auto"/>
          <w:sz w:val="21"/>
          <w:szCs w:val="21"/>
          <w:highlight w:val="none"/>
          <w:u w:val="single"/>
        </w:rPr>
        <w:t>日气温超过38度或低于零下10度；</w:t>
      </w:r>
    </w:p>
    <w:p w14:paraId="2A4AD9C2">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（4）</w:t>
      </w:r>
      <w:r>
        <w:rPr>
          <w:rFonts w:hint="eastAsia" w:ascii="宋体" w:hAnsi="宋体"/>
          <w:color w:val="auto"/>
          <w:sz w:val="21"/>
          <w:szCs w:val="21"/>
          <w:highlight w:val="none"/>
          <w:u w:val="single"/>
        </w:rPr>
        <w:t>其他另行协商。</w:t>
      </w:r>
      <w:r>
        <w:rPr>
          <w:rFonts w:ascii="宋体" w:hAnsi="宋体"/>
          <w:color w:val="auto"/>
          <w:sz w:val="21"/>
          <w:szCs w:val="21"/>
          <w:highlight w:val="none"/>
        </w:rPr>
        <w:br w:type="textWrapping"/>
      </w:r>
      <w:r>
        <w:rPr>
          <w:rFonts w:ascii="宋体" w:hAnsi="宋体"/>
          <w:color w:val="auto"/>
          <w:sz w:val="21"/>
          <w:szCs w:val="21"/>
          <w:highlight w:val="none"/>
        </w:rPr>
        <w:t>7.</w:t>
      </w:r>
      <w:r>
        <w:rPr>
          <w:rFonts w:hint="eastAsia" w:ascii="宋体" w:hAnsi="宋体"/>
          <w:color w:val="auto"/>
          <w:sz w:val="21"/>
          <w:szCs w:val="21"/>
          <w:highlight w:val="none"/>
        </w:rPr>
        <w:t>9提前竣工的奖励</w:t>
      </w:r>
    </w:p>
    <w:p w14:paraId="57680D4F">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7.</w:t>
      </w:r>
      <w:r>
        <w:rPr>
          <w:rFonts w:hint="eastAsia" w:ascii="宋体" w:hAnsi="宋体"/>
          <w:color w:val="auto"/>
          <w:sz w:val="21"/>
          <w:szCs w:val="21"/>
          <w:highlight w:val="none"/>
        </w:rPr>
        <w:t>9</w:t>
      </w:r>
      <w:r>
        <w:rPr>
          <w:rFonts w:ascii="宋体" w:hAnsi="宋体"/>
          <w:color w:val="auto"/>
          <w:sz w:val="21"/>
          <w:szCs w:val="21"/>
          <w:highlight w:val="none"/>
        </w:rPr>
        <w:t>.</w:t>
      </w:r>
      <w:r>
        <w:rPr>
          <w:rFonts w:hint="eastAsia" w:ascii="宋体" w:hAnsi="宋体"/>
          <w:color w:val="auto"/>
          <w:sz w:val="21"/>
          <w:szCs w:val="21"/>
          <w:highlight w:val="none"/>
        </w:rPr>
        <w:t>2提前竣工的奖励：</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43496187">
      <w:pPr>
        <w:pStyle w:val="5"/>
        <w:pageBreakBefore w:val="0"/>
        <w:widowControl w:val="0"/>
        <w:kinsoku/>
        <w:wordWrap/>
        <w:overflowPunct/>
        <w:topLinePunct w:val="0"/>
        <w:autoSpaceDE/>
        <w:autoSpaceDN/>
        <w:bidi w:val="0"/>
        <w:adjustRightInd/>
        <w:snapToGrid w:val="0"/>
        <w:spacing w:before="0" w:after="0" w:line="324"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8. </w:t>
      </w:r>
      <w:r>
        <w:rPr>
          <w:rFonts w:hint="eastAsia" w:ascii="宋体" w:hAnsi="宋体"/>
          <w:bCs w:val="0"/>
          <w:color w:val="auto"/>
          <w:sz w:val="21"/>
          <w:szCs w:val="21"/>
          <w:highlight w:val="none"/>
        </w:rPr>
        <w:t>材料与设备</w:t>
      </w:r>
    </w:p>
    <w:p w14:paraId="247E8538">
      <w:pPr>
        <w:pageBreakBefore w:val="0"/>
        <w:widowControl w:val="0"/>
        <w:kinsoku/>
        <w:wordWrap/>
        <w:overflowPunct/>
        <w:topLinePunct w:val="0"/>
        <w:autoSpaceDE/>
        <w:autoSpaceDN/>
        <w:bidi w:val="0"/>
        <w:adjustRightInd/>
        <w:snapToGrid w:val="0"/>
        <w:spacing w:line="324" w:lineRule="auto"/>
        <w:ind w:firstLine="420"/>
        <w:textAlignment w:val="auto"/>
        <w:rPr>
          <w:rFonts w:ascii="宋体" w:hAnsi="宋体"/>
          <w:color w:val="auto"/>
          <w:sz w:val="21"/>
          <w:szCs w:val="21"/>
          <w:highlight w:val="none"/>
        </w:rPr>
      </w:pPr>
      <w:r>
        <w:rPr>
          <w:rFonts w:ascii="宋体" w:hAnsi="宋体"/>
          <w:color w:val="auto"/>
          <w:sz w:val="21"/>
          <w:szCs w:val="21"/>
          <w:highlight w:val="none"/>
        </w:rPr>
        <w:t>8.</w:t>
      </w:r>
      <w:r>
        <w:rPr>
          <w:rFonts w:hint="eastAsia" w:ascii="宋体" w:hAnsi="宋体"/>
          <w:color w:val="auto"/>
          <w:sz w:val="21"/>
          <w:szCs w:val="21"/>
          <w:highlight w:val="none"/>
        </w:rPr>
        <w:t>4材料与工程设备的保管与使用</w:t>
      </w:r>
    </w:p>
    <w:p w14:paraId="422D46E6">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8.</w:t>
      </w:r>
      <w:r>
        <w:rPr>
          <w:rFonts w:hint="eastAsia" w:ascii="宋体" w:hAnsi="宋体"/>
          <w:color w:val="auto"/>
          <w:sz w:val="21"/>
          <w:szCs w:val="21"/>
          <w:highlight w:val="none"/>
        </w:rPr>
        <w:t>4</w:t>
      </w:r>
      <w:r>
        <w:rPr>
          <w:rFonts w:ascii="宋体" w:hAnsi="宋体"/>
          <w:color w:val="auto"/>
          <w:sz w:val="21"/>
          <w:szCs w:val="21"/>
          <w:highlight w:val="none"/>
        </w:rPr>
        <w:t>.1</w:t>
      </w:r>
      <w:r>
        <w:rPr>
          <w:rFonts w:hint="eastAsia" w:ascii="宋体" w:hAnsi="宋体"/>
          <w:color w:val="auto"/>
          <w:sz w:val="21"/>
          <w:szCs w:val="21"/>
          <w:highlight w:val="none"/>
        </w:rPr>
        <w:t>发包方供应的材料设备的保管费用的承担：</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7159D235">
      <w:pPr>
        <w:pageBreakBefore w:val="0"/>
        <w:widowControl w:val="0"/>
        <w:kinsoku/>
        <w:wordWrap/>
        <w:overflowPunct/>
        <w:topLinePunct w:val="0"/>
        <w:autoSpaceDE/>
        <w:autoSpaceDN/>
        <w:bidi w:val="0"/>
        <w:adjustRightInd/>
        <w:snapToGrid w:val="0"/>
        <w:spacing w:line="324" w:lineRule="auto"/>
        <w:ind w:firstLine="420"/>
        <w:textAlignment w:val="auto"/>
        <w:rPr>
          <w:rFonts w:ascii="宋体" w:hAnsi="宋体"/>
          <w:color w:val="auto"/>
          <w:sz w:val="21"/>
          <w:szCs w:val="21"/>
          <w:highlight w:val="none"/>
        </w:rPr>
      </w:pPr>
      <w:r>
        <w:rPr>
          <w:rFonts w:ascii="宋体" w:hAnsi="宋体"/>
          <w:color w:val="auto"/>
          <w:sz w:val="21"/>
          <w:szCs w:val="21"/>
          <w:highlight w:val="none"/>
        </w:rPr>
        <w:t>8.</w:t>
      </w:r>
      <w:r>
        <w:rPr>
          <w:rFonts w:hint="eastAsia" w:ascii="宋体" w:hAnsi="宋体"/>
          <w:color w:val="auto"/>
          <w:sz w:val="21"/>
          <w:szCs w:val="21"/>
          <w:highlight w:val="none"/>
        </w:rPr>
        <w:t>6样品</w:t>
      </w:r>
    </w:p>
    <w:p w14:paraId="69603692">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8.</w:t>
      </w:r>
      <w:r>
        <w:rPr>
          <w:rFonts w:hint="eastAsia" w:ascii="宋体" w:hAnsi="宋体"/>
          <w:color w:val="auto"/>
          <w:sz w:val="21"/>
          <w:szCs w:val="21"/>
          <w:highlight w:val="none"/>
        </w:rPr>
        <w:t>6</w:t>
      </w:r>
      <w:r>
        <w:rPr>
          <w:rFonts w:ascii="宋体" w:hAnsi="宋体"/>
          <w:color w:val="auto"/>
          <w:sz w:val="21"/>
          <w:szCs w:val="21"/>
          <w:highlight w:val="none"/>
        </w:rPr>
        <w:t>.1</w:t>
      </w:r>
      <w:r>
        <w:rPr>
          <w:rFonts w:hint="eastAsia" w:ascii="宋体" w:hAnsi="宋体"/>
          <w:color w:val="auto"/>
          <w:sz w:val="21"/>
          <w:szCs w:val="21"/>
          <w:highlight w:val="none"/>
        </w:rPr>
        <w:t>样品的报送与封存</w:t>
      </w:r>
    </w:p>
    <w:p w14:paraId="32EF78E2">
      <w:pPr>
        <w:pageBreakBefore w:val="0"/>
        <w:widowControl w:val="0"/>
        <w:kinsoku/>
        <w:wordWrap/>
        <w:overflowPunct/>
        <w:topLinePunct w:val="0"/>
        <w:autoSpaceDE/>
        <w:autoSpaceDN/>
        <w:bidi w:val="0"/>
        <w:adjustRightInd/>
        <w:snapToGrid w:val="0"/>
        <w:spacing w:line="324" w:lineRule="auto"/>
        <w:ind w:firstLine="420"/>
        <w:textAlignment w:val="auto"/>
        <w:rPr>
          <w:rFonts w:hint="eastAsia" w:ascii="宋体" w:hAnsi="宋体"/>
          <w:color w:val="auto"/>
          <w:sz w:val="21"/>
          <w:szCs w:val="21"/>
          <w:highlight w:val="none"/>
          <w:u w:val="single"/>
        </w:rPr>
      </w:pPr>
      <w:r>
        <w:rPr>
          <w:rFonts w:hint="eastAsia" w:ascii="宋体" w:hAnsi="宋体"/>
          <w:color w:val="auto"/>
          <w:sz w:val="21"/>
          <w:szCs w:val="21"/>
          <w:highlight w:val="none"/>
        </w:rPr>
        <w:t>需要承包方报送样品的材料或工程设备，样品的种类、名称、规格、数量要求：</w:t>
      </w:r>
      <w:r>
        <w:rPr>
          <w:rFonts w:hint="eastAsia" w:ascii="宋体" w:hAnsi="宋体"/>
          <w:color w:val="auto"/>
          <w:sz w:val="21"/>
          <w:szCs w:val="21"/>
          <w:highlight w:val="none"/>
          <w:u w:val="single"/>
        </w:rPr>
        <w:t>根据工程实际情况双方商定。</w:t>
      </w:r>
    </w:p>
    <w:p w14:paraId="2FD43614">
      <w:pPr>
        <w:keepNext w:val="0"/>
        <w:keepLines w:val="0"/>
        <w:pageBreakBefore w:val="0"/>
        <w:widowControl w:val="0"/>
        <w:kinsoku/>
        <w:wordWrap/>
        <w:overflowPunct/>
        <w:topLinePunct w:val="0"/>
        <w:autoSpaceDE/>
        <w:autoSpaceDN/>
        <w:bidi w:val="0"/>
        <w:adjustRightInd/>
        <w:snapToGrid w:val="0"/>
        <w:spacing w:line="324" w:lineRule="auto"/>
        <w:ind w:firstLine="420"/>
        <w:textAlignment w:val="auto"/>
        <w:rPr>
          <w:rFonts w:ascii="宋体" w:hAnsi="宋体"/>
          <w:color w:val="auto"/>
          <w:sz w:val="21"/>
          <w:szCs w:val="21"/>
          <w:highlight w:val="none"/>
        </w:rPr>
      </w:pPr>
      <w:r>
        <w:rPr>
          <w:rFonts w:ascii="宋体" w:hAnsi="宋体"/>
          <w:color w:val="auto"/>
          <w:sz w:val="21"/>
          <w:szCs w:val="21"/>
          <w:highlight w:val="none"/>
        </w:rPr>
        <w:t>8.</w:t>
      </w:r>
      <w:r>
        <w:rPr>
          <w:rFonts w:hint="eastAsia" w:ascii="宋体" w:hAnsi="宋体"/>
          <w:color w:val="auto"/>
          <w:sz w:val="21"/>
          <w:szCs w:val="21"/>
          <w:highlight w:val="none"/>
        </w:rPr>
        <w:t>8施工设备和临时设施</w:t>
      </w:r>
    </w:p>
    <w:p w14:paraId="60518CB3">
      <w:pPr>
        <w:keepNext w:val="0"/>
        <w:keepLines w:val="0"/>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8.</w:t>
      </w:r>
      <w:r>
        <w:rPr>
          <w:rFonts w:hint="eastAsia" w:ascii="宋体" w:hAnsi="宋体"/>
          <w:color w:val="auto"/>
          <w:sz w:val="21"/>
          <w:szCs w:val="21"/>
          <w:highlight w:val="none"/>
        </w:rPr>
        <w:t>8</w:t>
      </w:r>
      <w:r>
        <w:rPr>
          <w:rFonts w:ascii="宋体" w:hAnsi="宋体"/>
          <w:color w:val="auto"/>
          <w:sz w:val="21"/>
          <w:szCs w:val="21"/>
          <w:highlight w:val="none"/>
        </w:rPr>
        <w:t xml:space="preserve">.1 </w:t>
      </w:r>
      <w:r>
        <w:rPr>
          <w:rFonts w:hint="eastAsia" w:ascii="宋体" w:hAnsi="宋体"/>
          <w:color w:val="auto"/>
          <w:sz w:val="21"/>
          <w:szCs w:val="21"/>
          <w:highlight w:val="none"/>
        </w:rPr>
        <w:t>承包方提供的施工设备和临时设施</w:t>
      </w:r>
    </w:p>
    <w:p w14:paraId="00DEF439">
      <w:pPr>
        <w:keepNext w:val="0"/>
        <w:keepLines w:val="0"/>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关于修建临时设施费用承担的约定：</w:t>
      </w:r>
      <w:r>
        <w:rPr>
          <w:rFonts w:hint="eastAsia" w:ascii="宋体" w:hAnsi="宋体"/>
          <w:color w:val="auto"/>
          <w:sz w:val="21"/>
          <w:szCs w:val="21"/>
          <w:highlight w:val="none"/>
          <w:u w:val="single"/>
        </w:rPr>
        <w:t>承包方自行承担修建临时设施的费用，需要临时占地的，承包方自行协调，但费用由承包方承担</w:t>
      </w:r>
      <w:r>
        <w:rPr>
          <w:rFonts w:hint="eastAsia" w:ascii="宋体" w:hAnsi="宋体"/>
          <w:color w:val="auto"/>
          <w:sz w:val="21"/>
          <w:szCs w:val="21"/>
          <w:highlight w:val="none"/>
        </w:rPr>
        <w:t>。</w:t>
      </w:r>
    </w:p>
    <w:p w14:paraId="779EC697">
      <w:pPr>
        <w:pStyle w:val="5"/>
        <w:pageBreakBefore w:val="0"/>
        <w:widowControl w:val="0"/>
        <w:kinsoku/>
        <w:wordWrap/>
        <w:overflowPunct/>
        <w:topLinePunct w:val="0"/>
        <w:autoSpaceDE/>
        <w:autoSpaceDN/>
        <w:bidi w:val="0"/>
        <w:adjustRightInd/>
        <w:snapToGrid w:val="0"/>
        <w:spacing w:before="0" w:after="0" w:line="324"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9. </w:t>
      </w:r>
      <w:r>
        <w:rPr>
          <w:rFonts w:hint="eastAsia" w:ascii="宋体" w:hAnsi="宋体"/>
          <w:bCs w:val="0"/>
          <w:color w:val="auto"/>
          <w:sz w:val="21"/>
          <w:szCs w:val="21"/>
          <w:highlight w:val="none"/>
        </w:rPr>
        <w:t>试验与检验</w:t>
      </w:r>
    </w:p>
    <w:p w14:paraId="54C4BD39">
      <w:pPr>
        <w:pageBreakBefore w:val="0"/>
        <w:widowControl w:val="0"/>
        <w:kinsoku/>
        <w:wordWrap/>
        <w:overflowPunct/>
        <w:topLinePunct w:val="0"/>
        <w:autoSpaceDE/>
        <w:autoSpaceDN/>
        <w:bidi w:val="0"/>
        <w:adjustRightInd/>
        <w:snapToGrid w:val="0"/>
        <w:spacing w:line="324" w:lineRule="auto"/>
        <w:ind w:firstLine="420"/>
        <w:textAlignment w:val="auto"/>
        <w:rPr>
          <w:rFonts w:ascii="宋体" w:hAnsi="宋体"/>
          <w:color w:val="auto"/>
          <w:sz w:val="21"/>
          <w:szCs w:val="21"/>
          <w:highlight w:val="none"/>
        </w:rPr>
      </w:pPr>
      <w:r>
        <w:rPr>
          <w:rFonts w:ascii="宋体" w:hAnsi="宋体"/>
          <w:color w:val="auto"/>
          <w:sz w:val="21"/>
          <w:szCs w:val="21"/>
          <w:highlight w:val="none"/>
        </w:rPr>
        <w:t>9.1</w:t>
      </w:r>
      <w:r>
        <w:rPr>
          <w:rFonts w:hint="eastAsia" w:ascii="宋体" w:hAnsi="宋体"/>
          <w:color w:val="auto"/>
          <w:sz w:val="21"/>
          <w:szCs w:val="21"/>
          <w:highlight w:val="none"/>
        </w:rPr>
        <w:t>试验设备与试验人员</w:t>
      </w:r>
    </w:p>
    <w:p w14:paraId="7B9C8CB3">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9.1.2 </w:t>
      </w:r>
      <w:r>
        <w:rPr>
          <w:rFonts w:hint="eastAsia" w:ascii="宋体" w:hAnsi="宋体"/>
          <w:color w:val="auto"/>
          <w:sz w:val="21"/>
          <w:szCs w:val="21"/>
          <w:highlight w:val="none"/>
        </w:rPr>
        <w:t>试验设备</w:t>
      </w:r>
    </w:p>
    <w:p w14:paraId="267F7C0D">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施工现场需要配置的试验场所：</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153BF0F3">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施工现场需要配备的试验设备：</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35D6BE16">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施工现场需要具备的其他试验条件：</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3EF92E1E">
      <w:pPr>
        <w:pageBreakBefore w:val="0"/>
        <w:widowControl w:val="0"/>
        <w:kinsoku/>
        <w:wordWrap/>
        <w:overflowPunct/>
        <w:topLinePunct w:val="0"/>
        <w:autoSpaceDE/>
        <w:autoSpaceDN/>
        <w:bidi w:val="0"/>
        <w:adjustRightInd/>
        <w:snapToGrid w:val="0"/>
        <w:spacing w:line="324" w:lineRule="auto"/>
        <w:ind w:firstLine="420"/>
        <w:textAlignment w:val="auto"/>
        <w:rPr>
          <w:rFonts w:ascii="宋体" w:hAnsi="宋体"/>
          <w:color w:val="auto"/>
          <w:sz w:val="21"/>
          <w:szCs w:val="21"/>
          <w:highlight w:val="none"/>
        </w:rPr>
      </w:pPr>
      <w:r>
        <w:rPr>
          <w:rFonts w:ascii="宋体" w:hAnsi="宋体"/>
          <w:color w:val="auto"/>
          <w:sz w:val="21"/>
          <w:szCs w:val="21"/>
          <w:highlight w:val="none"/>
        </w:rPr>
        <w:t>9.</w:t>
      </w:r>
      <w:r>
        <w:rPr>
          <w:rFonts w:hint="eastAsia" w:ascii="宋体" w:hAnsi="宋体"/>
          <w:color w:val="auto"/>
          <w:sz w:val="21"/>
          <w:szCs w:val="21"/>
          <w:highlight w:val="none"/>
        </w:rPr>
        <w:t>4现场工艺试验</w:t>
      </w:r>
    </w:p>
    <w:p w14:paraId="592617E3">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现场工艺试验的有关约定：</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5B672EB8">
      <w:pPr>
        <w:pStyle w:val="5"/>
        <w:pageBreakBefore w:val="0"/>
        <w:widowControl w:val="0"/>
        <w:kinsoku/>
        <w:wordWrap/>
        <w:overflowPunct/>
        <w:topLinePunct w:val="0"/>
        <w:autoSpaceDE/>
        <w:autoSpaceDN/>
        <w:bidi w:val="0"/>
        <w:adjustRightInd/>
        <w:snapToGrid w:val="0"/>
        <w:spacing w:before="0" w:after="0" w:line="324"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10. </w:t>
      </w:r>
      <w:r>
        <w:rPr>
          <w:rFonts w:hint="eastAsia" w:ascii="宋体" w:hAnsi="宋体"/>
          <w:bCs w:val="0"/>
          <w:color w:val="auto"/>
          <w:sz w:val="21"/>
          <w:szCs w:val="21"/>
          <w:highlight w:val="none"/>
        </w:rPr>
        <w:t>变更</w:t>
      </w:r>
    </w:p>
    <w:p w14:paraId="6B470F5D">
      <w:pPr>
        <w:pageBreakBefore w:val="0"/>
        <w:widowControl w:val="0"/>
        <w:kinsoku/>
        <w:wordWrap/>
        <w:overflowPunct/>
        <w:topLinePunct w:val="0"/>
        <w:autoSpaceDE/>
        <w:autoSpaceDN/>
        <w:bidi w:val="0"/>
        <w:adjustRightInd/>
        <w:snapToGrid w:val="0"/>
        <w:spacing w:line="324" w:lineRule="auto"/>
        <w:ind w:firstLine="420"/>
        <w:textAlignment w:val="auto"/>
        <w:rPr>
          <w:rFonts w:ascii="宋体" w:hAnsi="宋体"/>
          <w:color w:val="auto"/>
          <w:sz w:val="21"/>
          <w:szCs w:val="21"/>
          <w:highlight w:val="none"/>
        </w:rPr>
      </w:pPr>
      <w:r>
        <w:rPr>
          <w:rFonts w:ascii="宋体" w:hAnsi="宋体"/>
          <w:color w:val="auto"/>
          <w:sz w:val="21"/>
          <w:szCs w:val="21"/>
          <w:highlight w:val="none"/>
        </w:rPr>
        <w:t>10.1</w:t>
      </w:r>
      <w:r>
        <w:rPr>
          <w:rFonts w:hint="eastAsia" w:ascii="宋体" w:hAnsi="宋体"/>
          <w:color w:val="auto"/>
          <w:sz w:val="21"/>
          <w:szCs w:val="21"/>
          <w:highlight w:val="none"/>
        </w:rPr>
        <w:t>变更的范围</w:t>
      </w:r>
    </w:p>
    <w:p w14:paraId="28F0260B">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关于变更的范围的约定：</w:t>
      </w:r>
      <w:r>
        <w:rPr>
          <w:rFonts w:hint="eastAsia" w:ascii="宋体" w:hAnsi="宋体"/>
          <w:color w:val="auto"/>
          <w:sz w:val="21"/>
          <w:szCs w:val="21"/>
          <w:highlight w:val="none"/>
          <w:u w:val="single"/>
        </w:rPr>
        <w:t>按</w:t>
      </w:r>
      <w:r>
        <w:rPr>
          <w:rFonts w:hint="eastAsia" w:ascii="宋体" w:hAnsi="宋体"/>
          <w:color w:val="auto"/>
          <w:sz w:val="21"/>
          <w:szCs w:val="21"/>
          <w:highlight w:val="none"/>
          <w:u w:val="single"/>
          <w:lang w:eastAsia="zh-CN"/>
        </w:rPr>
        <w:t>《</w:t>
      </w:r>
      <w:r>
        <w:rPr>
          <w:rFonts w:hint="eastAsia" w:ascii="宋体" w:hAnsi="宋体"/>
          <w:color w:val="auto"/>
          <w:sz w:val="21"/>
          <w:szCs w:val="21"/>
          <w:highlight w:val="none"/>
          <w:u w:val="single"/>
        </w:rPr>
        <w:t>泰兴经济开发区(滨江镇)工程建设项目管理办法(试行)</w:t>
      </w:r>
      <w:r>
        <w:rPr>
          <w:rFonts w:hint="eastAsia" w:ascii="宋体" w:hAnsi="宋体"/>
          <w:color w:val="auto"/>
          <w:sz w:val="21"/>
          <w:szCs w:val="21"/>
          <w:highlight w:val="none"/>
          <w:u w:val="single"/>
          <w:lang w:eastAsia="zh-CN"/>
        </w:rPr>
        <w:t>》泰经委综管发【2024】7号</w:t>
      </w:r>
      <w:r>
        <w:rPr>
          <w:rFonts w:hint="eastAsia" w:ascii="宋体" w:hAnsi="宋体"/>
          <w:color w:val="auto"/>
          <w:sz w:val="21"/>
          <w:szCs w:val="21"/>
          <w:highlight w:val="none"/>
          <w:u w:val="single"/>
        </w:rPr>
        <w:t>文件执行。</w:t>
      </w:r>
    </w:p>
    <w:p w14:paraId="6A0CB77A">
      <w:pPr>
        <w:pageBreakBefore w:val="0"/>
        <w:widowControl w:val="0"/>
        <w:kinsoku/>
        <w:wordWrap/>
        <w:overflowPunct/>
        <w:topLinePunct w:val="0"/>
        <w:autoSpaceDE/>
        <w:autoSpaceDN/>
        <w:bidi w:val="0"/>
        <w:adjustRightInd/>
        <w:snapToGrid w:val="0"/>
        <w:spacing w:line="324" w:lineRule="auto"/>
        <w:ind w:firstLine="420"/>
        <w:textAlignment w:val="auto"/>
        <w:rPr>
          <w:rFonts w:ascii="宋体" w:hAnsi="宋体"/>
          <w:color w:val="auto"/>
          <w:sz w:val="21"/>
          <w:szCs w:val="21"/>
          <w:highlight w:val="none"/>
        </w:rPr>
      </w:pPr>
      <w:r>
        <w:rPr>
          <w:rFonts w:ascii="宋体" w:hAnsi="宋体"/>
          <w:color w:val="auto"/>
          <w:sz w:val="21"/>
          <w:szCs w:val="21"/>
          <w:highlight w:val="none"/>
        </w:rPr>
        <w:t>10.</w:t>
      </w:r>
      <w:r>
        <w:rPr>
          <w:rFonts w:hint="eastAsia" w:ascii="宋体" w:hAnsi="宋体"/>
          <w:color w:val="auto"/>
          <w:sz w:val="21"/>
          <w:szCs w:val="21"/>
          <w:highlight w:val="none"/>
        </w:rPr>
        <w:t>4变更估价</w:t>
      </w:r>
    </w:p>
    <w:p w14:paraId="7565CF3E">
      <w:pPr>
        <w:pageBreakBefore w:val="0"/>
        <w:widowControl w:val="0"/>
        <w:kinsoku/>
        <w:wordWrap/>
        <w:overflowPunct/>
        <w:topLinePunct w:val="0"/>
        <w:autoSpaceDE/>
        <w:autoSpaceDN/>
        <w:bidi w:val="0"/>
        <w:adjustRightInd/>
        <w:snapToGrid w:val="0"/>
        <w:spacing w:line="324" w:lineRule="auto"/>
        <w:ind w:firstLine="420"/>
        <w:jc w:val="left"/>
        <w:textAlignment w:val="auto"/>
        <w:rPr>
          <w:rFonts w:hint="eastAsia" w:ascii="宋体" w:hAnsi="宋体"/>
          <w:color w:val="auto"/>
          <w:sz w:val="21"/>
          <w:szCs w:val="21"/>
          <w:highlight w:val="none"/>
        </w:rPr>
      </w:pPr>
      <w:r>
        <w:rPr>
          <w:rFonts w:ascii="宋体" w:hAnsi="宋体"/>
          <w:color w:val="auto"/>
          <w:sz w:val="21"/>
          <w:szCs w:val="21"/>
          <w:highlight w:val="none"/>
        </w:rPr>
        <w:t>10.</w:t>
      </w:r>
      <w:r>
        <w:rPr>
          <w:rFonts w:hint="eastAsia" w:ascii="宋体" w:hAnsi="宋体"/>
          <w:color w:val="auto"/>
          <w:sz w:val="21"/>
          <w:szCs w:val="21"/>
          <w:highlight w:val="none"/>
        </w:rPr>
        <w:t>4</w:t>
      </w:r>
      <w:r>
        <w:rPr>
          <w:rFonts w:ascii="宋体" w:hAnsi="宋体"/>
          <w:color w:val="auto"/>
          <w:sz w:val="21"/>
          <w:szCs w:val="21"/>
          <w:highlight w:val="none"/>
        </w:rPr>
        <w:t xml:space="preserve">.1 </w:t>
      </w:r>
      <w:r>
        <w:rPr>
          <w:rFonts w:hint="eastAsia" w:ascii="宋体" w:hAnsi="宋体"/>
          <w:color w:val="auto"/>
          <w:sz w:val="21"/>
          <w:szCs w:val="21"/>
          <w:highlight w:val="none"/>
        </w:rPr>
        <w:t>变更估价原则</w:t>
      </w:r>
    </w:p>
    <w:p w14:paraId="0A84A5CF">
      <w:pPr>
        <w:pageBreakBefore w:val="0"/>
        <w:kinsoku/>
        <w:wordWrap/>
        <w:overflowPunct/>
        <w:topLinePunct w:val="0"/>
        <w:autoSpaceDE/>
        <w:autoSpaceDN/>
        <w:bidi w:val="0"/>
        <w:adjustRightInd/>
        <w:snapToGrid w:val="0"/>
        <w:spacing w:line="312" w:lineRule="auto"/>
        <w:ind w:firstLine="420"/>
        <w:jc w:val="left"/>
        <w:textAlignment w:val="auto"/>
        <w:rPr>
          <w:rFonts w:hint="eastAsia" w:ascii="宋体" w:hAnsi="宋体"/>
          <w:color w:val="auto"/>
          <w:sz w:val="21"/>
          <w:szCs w:val="21"/>
          <w:highlight w:val="none"/>
        </w:rPr>
      </w:pPr>
    </w:p>
    <w:p w14:paraId="1626C830">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关于变更估价的约定：</w:t>
      </w:r>
      <w:r>
        <w:rPr>
          <w:rFonts w:hint="eastAsia" w:ascii="宋体" w:hAnsi="宋体"/>
          <w:color w:val="auto"/>
          <w:sz w:val="21"/>
          <w:szCs w:val="21"/>
          <w:highlight w:val="none"/>
          <w:u w:val="single"/>
        </w:rPr>
        <w:t>已标价工程量清单中有适用于变更工程项目的，应采用该项目的单价；已标价工程量清单中没有适用但有类似于变更工程项目的，可在合理范围内参照类似项目的单价；已标价工程量清单中没有适用也没有类似于变更工程项目的，应由承包方根据变更工程资料、计算规则和计价办法、工程造价管理机构发布的信息价格和承包方报价浮动率提出变更工程项目的单价，并应报发包方确认后调整；已标价工程量清单中没有适用也没有类似于变更工程项目的，且工程造价管理机构发布的信息价缺价的，应由承包方根据变更工程资料、计算规则和计价办法和通过市场调查等取得有合法依据的市场价格提出变更工程项目的单价，并应报发包方确认后调整。上述综合单价调整时，当工程量增加15%以上时，增加部分的工程量的综合单价应予以调低（超过增加部分工程量的综合单价*97%），当工程量减少15%以上时，减少后剩余部分的工程量的综合单价应予以调高（超过减少部分工程量的综合单价*103%）。注：报价浮动率L ={1-[中标价-（暂列金额+暂估价（其中：材料（工程设备）暂估价应包括总价措施项目费））×（1+规费费率）×（1+税金费率）]/[招标控制价-（暂列金额+暂估价（其中：材料（工程设备）暂估价应包括总价措施项目费））×（1+规费费率）×（1+税金费率）]</w:t>
      </w:r>
      <w:r>
        <w:rPr>
          <w:rFonts w:ascii="宋体" w:hAnsi="宋体"/>
          <w:color w:val="auto"/>
          <w:sz w:val="21"/>
          <w:szCs w:val="21"/>
          <w:highlight w:val="none"/>
          <w:u w:val="single"/>
        </w:rPr>
        <w:t>}X100%；</w:t>
      </w:r>
      <w:r>
        <w:rPr>
          <w:rFonts w:hint="eastAsia" w:ascii="宋体" w:hAnsi="宋体"/>
          <w:color w:val="auto"/>
          <w:sz w:val="21"/>
          <w:szCs w:val="21"/>
          <w:highlight w:val="none"/>
          <w:u w:val="single"/>
        </w:rPr>
        <w:t>其中：暂估价和暂列金额作为减数时，必须乘以（1+规费费率）×（1+税金费率）后计算下浮率</w:t>
      </w:r>
      <w:r>
        <w:rPr>
          <w:rFonts w:hint="eastAsia" w:ascii="宋体" w:hAnsi="宋体"/>
          <w:color w:val="auto"/>
          <w:sz w:val="21"/>
          <w:szCs w:val="21"/>
          <w:highlight w:val="none"/>
        </w:rPr>
        <w:t>。</w:t>
      </w:r>
    </w:p>
    <w:p w14:paraId="2515CDAB">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10.</w:t>
      </w:r>
      <w:r>
        <w:rPr>
          <w:rFonts w:hint="eastAsia" w:ascii="宋体" w:hAnsi="宋体"/>
          <w:color w:val="auto"/>
          <w:sz w:val="21"/>
          <w:szCs w:val="21"/>
          <w:highlight w:val="none"/>
        </w:rPr>
        <w:t>5承包方的合理化建议</w:t>
      </w:r>
    </w:p>
    <w:p w14:paraId="4FBB6563">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监理人审查承包方合理化建议的期限：</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0228487D">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发包方审批承包方合理化建议的期限：</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66A8A99E">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承包方提出的合理化建议降低了合同价格或者提高了工程经济效益的奖励的方法和金额为：</w:t>
      </w:r>
      <w:r>
        <w:rPr>
          <w:rFonts w:hint="eastAsia" w:ascii="宋体" w:hAnsi="宋体"/>
          <w:color w:val="auto"/>
          <w:sz w:val="21"/>
          <w:szCs w:val="21"/>
          <w:highlight w:val="none"/>
          <w:u w:val="single"/>
        </w:rPr>
        <w:t>另行协商</w:t>
      </w:r>
      <w:r>
        <w:rPr>
          <w:rFonts w:hint="eastAsia" w:ascii="宋体" w:hAnsi="宋体"/>
          <w:color w:val="auto"/>
          <w:sz w:val="21"/>
          <w:szCs w:val="21"/>
          <w:highlight w:val="none"/>
        </w:rPr>
        <w:t>。</w:t>
      </w:r>
    </w:p>
    <w:p w14:paraId="70CE481D">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10.</w:t>
      </w:r>
      <w:r>
        <w:rPr>
          <w:rFonts w:hint="eastAsia" w:ascii="宋体" w:hAnsi="宋体"/>
          <w:color w:val="auto"/>
          <w:sz w:val="21"/>
          <w:szCs w:val="21"/>
          <w:highlight w:val="none"/>
        </w:rPr>
        <w:t>7暂估价</w:t>
      </w:r>
    </w:p>
    <w:p w14:paraId="324E23F3">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暂估价材料和工程设备的明细详见附件</w:t>
      </w:r>
      <w:r>
        <w:rPr>
          <w:rFonts w:ascii="宋体" w:hAnsi="宋体"/>
          <w:color w:val="auto"/>
          <w:sz w:val="21"/>
          <w:szCs w:val="21"/>
          <w:highlight w:val="none"/>
        </w:rPr>
        <w:t>11</w:t>
      </w:r>
      <w:r>
        <w:rPr>
          <w:rFonts w:hint="eastAsia" w:ascii="宋体" w:hAnsi="宋体"/>
          <w:color w:val="auto"/>
          <w:sz w:val="21"/>
          <w:szCs w:val="21"/>
          <w:highlight w:val="none"/>
        </w:rPr>
        <w:t>：《暂估价一览表》。</w:t>
      </w:r>
    </w:p>
    <w:p w14:paraId="2C8DBEFF">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10.</w:t>
      </w:r>
      <w:r>
        <w:rPr>
          <w:rFonts w:hint="eastAsia" w:ascii="宋体" w:hAnsi="宋体"/>
          <w:color w:val="auto"/>
          <w:sz w:val="21"/>
          <w:szCs w:val="21"/>
          <w:highlight w:val="none"/>
        </w:rPr>
        <w:t>7</w:t>
      </w:r>
      <w:r>
        <w:rPr>
          <w:rFonts w:ascii="宋体" w:hAnsi="宋体"/>
          <w:color w:val="auto"/>
          <w:sz w:val="21"/>
          <w:szCs w:val="21"/>
          <w:highlight w:val="none"/>
        </w:rPr>
        <w:t xml:space="preserve">.1 </w:t>
      </w:r>
      <w:r>
        <w:rPr>
          <w:rFonts w:hint="eastAsia" w:ascii="宋体" w:hAnsi="宋体"/>
          <w:color w:val="auto"/>
          <w:sz w:val="21"/>
          <w:szCs w:val="21"/>
          <w:highlight w:val="none"/>
        </w:rPr>
        <w:t>依法必须招标的暂估价项目</w:t>
      </w:r>
    </w:p>
    <w:p w14:paraId="4E210BCE">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对于依法必须招标的暂估价项目的确认和批准采取第</w:t>
      </w:r>
      <w:r>
        <w:rPr>
          <w:rFonts w:hint="eastAsia" w:ascii="宋体" w:hAnsi="宋体"/>
          <w:color w:val="auto"/>
          <w:sz w:val="21"/>
          <w:szCs w:val="21"/>
          <w:highlight w:val="none"/>
          <w:u w:val="single"/>
        </w:rPr>
        <w:t>1</w:t>
      </w:r>
      <w:r>
        <w:rPr>
          <w:rFonts w:hint="eastAsia" w:ascii="宋体" w:hAnsi="宋体"/>
          <w:color w:val="auto"/>
          <w:sz w:val="21"/>
          <w:szCs w:val="21"/>
          <w:highlight w:val="none"/>
        </w:rPr>
        <w:t>种方式确定。</w:t>
      </w:r>
    </w:p>
    <w:p w14:paraId="6B179FDE">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10.</w:t>
      </w:r>
      <w:r>
        <w:rPr>
          <w:rFonts w:hint="eastAsia" w:ascii="宋体" w:hAnsi="宋体"/>
          <w:color w:val="auto"/>
          <w:sz w:val="21"/>
          <w:szCs w:val="21"/>
          <w:highlight w:val="none"/>
        </w:rPr>
        <w:t>7</w:t>
      </w:r>
      <w:r>
        <w:rPr>
          <w:rFonts w:ascii="宋体" w:hAnsi="宋体"/>
          <w:color w:val="auto"/>
          <w:sz w:val="21"/>
          <w:szCs w:val="21"/>
          <w:highlight w:val="none"/>
        </w:rPr>
        <w:t xml:space="preserve">.2 </w:t>
      </w:r>
      <w:r>
        <w:rPr>
          <w:rFonts w:hint="eastAsia" w:ascii="宋体" w:hAnsi="宋体"/>
          <w:color w:val="auto"/>
          <w:sz w:val="21"/>
          <w:szCs w:val="21"/>
          <w:highlight w:val="none"/>
        </w:rPr>
        <w:t>不属于依法必须招标的暂估价项目</w:t>
      </w:r>
    </w:p>
    <w:p w14:paraId="320A2FB4">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对于不属于依法必须招标的暂估价项目的确认和批准采取第</w:t>
      </w:r>
      <w:r>
        <w:rPr>
          <w:rFonts w:hint="eastAsia" w:ascii="宋体" w:hAnsi="宋体"/>
          <w:color w:val="auto"/>
          <w:sz w:val="21"/>
          <w:szCs w:val="21"/>
          <w:highlight w:val="none"/>
          <w:u w:val="single"/>
        </w:rPr>
        <w:t>3</w:t>
      </w:r>
      <w:r>
        <w:rPr>
          <w:rFonts w:hint="eastAsia" w:ascii="宋体" w:hAnsi="宋体"/>
          <w:color w:val="auto"/>
          <w:sz w:val="21"/>
          <w:szCs w:val="21"/>
          <w:highlight w:val="none"/>
        </w:rPr>
        <w:t>种方式确定。</w:t>
      </w:r>
    </w:p>
    <w:p w14:paraId="60135042">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第</w:t>
      </w:r>
      <w:r>
        <w:rPr>
          <w:rFonts w:ascii="宋体" w:hAnsi="宋体"/>
          <w:color w:val="auto"/>
          <w:sz w:val="21"/>
          <w:szCs w:val="21"/>
          <w:highlight w:val="none"/>
        </w:rPr>
        <w:t>3</w:t>
      </w:r>
      <w:r>
        <w:rPr>
          <w:rFonts w:hint="eastAsia" w:ascii="宋体" w:hAnsi="宋体"/>
          <w:color w:val="auto"/>
          <w:sz w:val="21"/>
          <w:szCs w:val="21"/>
          <w:highlight w:val="none"/>
        </w:rPr>
        <w:t>种方式：承包方直接实施的暂估价项目</w:t>
      </w:r>
    </w:p>
    <w:p w14:paraId="0913210F">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承包方直接实施的暂估价项目的约定：</w:t>
      </w:r>
      <w:r>
        <w:rPr>
          <w:rFonts w:hint="eastAsia" w:ascii="宋体" w:hAnsi="宋体"/>
          <w:color w:val="auto"/>
          <w:sz w:val="21"/>
          <w:szCs w:val="21"/>
          <w:highlight w:val="none"/>
          <w:u w:val="single"/>
        </w:rPr>
        <w:t>由发包方、承包方、监理方、跟踪审计方四方共同认价，承包方负责采购</w:t>
      </w:r>
      <w:r>
        <w:rPr>
          <w:rFonts w:hint="eastAsia" w:ascii="宋体" w:hAnsi="宋体"/>
          <w:color w:val="auto"/>
          <w:sz w:val="21"/>
          <w:szCs w:val="21"/>
          <w:highlight w:val="none"/>
        </w:rPr>
        <w:t>。</w:t>
      </w:r>
    </w:p>
    <w:p w14:paraId="6623BF6A">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10.</w:t>
      </w:r>
      <w:r>
        <w:rPr>
          <w:rFonts w:hint="eastAsia" w:ascii="宋体" w:hAnsi="宋体"/>
          <w:color w:val="auto"/>
          <w:sz w:val="21"/>
          <w:szCs w:val="21"/>
          <w:highlight w:val="none"/>
        </w:rPr>
        <w:t>8暂列金额</w:t>
      </w:r>
    </w:p>
    <w:p w14:paraId="7BD8F98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合同当事人关于暂列金额使用的约定：</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034A076F">
      <w:pPr>
        <w:pStyle w:val="5"/>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11. </w:t>
      </w:r>
      <w:r>
        <w:rPr>
          <w:rFonts w:hint="eastAsia" w:ascii="宋体" w:hAnsi="宋体"/>
          <w:bCs w:val="0"/>
          <w:color w:val="auto"/>
          <w:sz w:val="21"/>
          <w:szCs w:val="21"/>
          <w:highlight w:val="none"/>
        </w:rPr>
        <w:t>价格调整</w:t>
      </w:r>
    </w:p>
    <w:p w14:paraId="7A82C80E">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11.1 </w:t>
      </w:r>
      <w:r>
        <w:rPr>
          <w:rFonts w:hint="eastAsia" w:ascii="宋体" w:hAnsi="宋体"/>
          <w:color w:val="auto"/>
          <w:sz w:val="21"/>
          <w:szCs w:val="21"/>
          <w:highlight w:val="none"/>
        </w:rPr>
        <w:t>市场价格波动引起的调整</w:t>
      </w:r>
    </w:p>
    <w:p w14:paraId="0BBA2D7D">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市场价格波动是否调整合同价格的约定：</w:t>
      </w:r>
      <w:r>
        <w:rPr>
          <w:rFonts w:hint="eastAsia" w:ascii="宋体" w:hAnsi="宋体"/>
          <w:color w:val="auto"/>
          <w:sz w:val="21"/>
          <w:szCs w:val="21"/>
          <w:highlight w:val="none"/>
          <w:u w:val="single"/>
        </w:rPr>
        <w:t>是</w:t>
      </w:r>
      <w:r>
        <w:rPr>
          <w:rFonts w:hint="eastAsia" w:ascii="宋体" w:hAnsi="宋体"/>
          <w:color w:val="auto"/>
          <w:sz w:val="21"/>
          <w:szCs w:val="21"/>
          <w:highlight w:val="none"/>
        </w:rPr>
        <w:t>。</w:t>
      </w:r>
    </w:p>
    <w:p w14:paraId="365C2F72">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因市场价格波动调整合同价格，采用以下第</w:t>
      </w:r>
      <w:r>
        <w:rPr>
          <w:rFonts w:ascii="宋体" w:hAnsi="宋体"/>
          <w:color w:val="auto"/>
          <w:sz w:val="21"/>
          <w:szCs w:val="21"/>
          <w:highlight w:val="none"/>
          <w:u w:val="single"/>
        </w:rPr>
        <w:t xml:space="preserve">  2  </w:t>
      </w:r>
      <w:r>
        <w:rPr>
          <w:rFonts w:hint="eastAsia" w:ascii="宋体" w:hAnsi="宋体"/>
          <w:color w:val="auto"/>
          <w:sz w:val="21"/>
          <w:szCs w:val="21"/>
          <w:highlight w:val="none"/>
        </w:rPr>
        <w:t>种方式对合同价格进行调整：</w:t>
      </w:r>
    </w:p>
    <w:p w14:paraId="58BE1094">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第</w:t>
      </w:r>
      <w:r>
        <w:rPr>
          <w:rFonts w:ascii="宋体" w:hAnsi="宋体"/>
          <w:color w:val="auto"/>
          <w:sz w:val="21"/>
          <w:szCs w:val="21"/>
          <w:highlight w:val="none"/>
        </w:rPr>
        <w:t>1</w:t>
      </w:r>
      <w:r>
        <w:rPr>
          <w:rFonts w:hint="eastAsia" w:ascii="宋体" w:hAnsi="宋体"/>
          <w:color w:val="auto"/>
          <w:sz w:val="21"/>
          <w:szCs w:val="21"/>
          <w:highlight w:val="none"/>
        </w:rPr>
        <w:t>种方式：采用价格指数进行价格调整。</w:t>
      </w:r>
    </w:p>
    <w:p w14:paraId="03F1AEA6">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关于各可调因子、定值和变值权重，以及基本价格指数及其来源的约定：</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7F7F8D74">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第</w:t>
      </w:r>
      <w:r>
        <w:rPr>
          <w:rFonts w:ascii="宋体" w:hAnsi="宋体"/>
          <w:color w:val="auto"/>
          <w:sz w:val="21"/>
          <w:szCs w:val="21"/>
          <w:highlight w:val="none"/>
        </w:rPr>
        <w:t>2</w:t>
      </w:r>
      <w:r>
        <w:rPr>
          <w:rFonts w:hint="eastAsia" w:ascii="宋体" w:hAnsi="宋体"/>
          <w:color w:val="auto"/>
          <w:sz w:val="21"/>
          <w:szCs w:val="21"/>
          <w:highlight w:val="none"/>
        </w:rPr>
        <w:t>种方式：采用造价信息进行价格调整。</w:t>
      </w:r>
    </w:p>
    <w:p w14:paraId="75AD93BC">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（2）关于基准价格的约定：</w:t>
      </w:r>
      <w:r>
        <w:rPr>
          <w:rFonts w:hint="eastAsia" w:ascii="宋体" w:hAnsi="宋体"/>
          <w:color w:val="auto"/>
          <w:sz w:val="21"/>
          <w:szCs w:val="21"/>
          <w:highlight w:val="none"/>
          <w:u w:val="single"/>
        </w:rPr>
        <w:t>以投标截止日前28天为基准日的指导价为基准价，无指导价的以市场价为基准价、非招标工程为合同签订前28天。</w:t>
      </w:r>
    </w:p>
    <w:p w14:paraId="3E26D08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专用合同条款：</w:t>
      </w:r>
      <w:r>
        <w:rPr>
          <w:rFonts w:hint="eastAsia" w:ascii="宋体" w:hAnsi="宋体" w:cs="宋体"/>
          <w:color w:val="auto"/>
          <w:sz w:val="21"/>
          <w:szCs w:val="21"/>
          <w:highlight w:val="none"/>
        </w:rPr>
        <w:t>①</w:t>
      </w:r>
      <w:r>
        <w:rPr>
          <w:rFonts w:hint="eastAsia" w:ascii="宋体" w:hAnsi="宋体"/>
          <w:color w:val="auto"/>
          <w:sz w:val="21"/>
          <w:szCs w:val="21"/>
          <w:highlight w:val="none"/>
        </w:rPr>
        <w:t>承包方在已标价工程量清单或预算书中载明的材料单价低于基准价格的：专用合同条款合同履行期间材料单价涨幅以基准价格为基础超过</w:t>
      </w:r>
      <w:r>
        <w:rPr>
          <w:rFonts w:hint="eastAsia" w:ascii="宋体" w:hAnsi="宋体"/>
          <w:color w:val="auto"/>
          <w:sz w:val="21"/>
          <w:szCs w:val="21"/>
          <w:highlight w:val="none"/>
          <w:u w:val="single"/>
        </w:rPr>
        <w:t>10</w:t>
      </w:r>
      <w:r>
        <w:rPr>
          <w:rFonts w:ascii="宋体" w:hAnsi="宋体"/>
          <w:color w:val="auto"/>
          <w:sz w:val="21"/>
          <w:szCs w:val="21"/>
          <w:highlight w:val="none"/>
        </w:rPr>
        <w:t>%</w:t>
      </w:r>
      <w:r>
        <w:rPr>
          <w:rFonts w:hint="eastAsia" w:ascii="宋体" w:hAnsi="宋体"/>
          <w:color w:val="auto"/>
          <w:sz w:val="21"/>
          <w:szCs w:val="21"/>
          <w:highlight w:val="none"/>
        </w:rPr>
        <w:t>时，或材料单价跌幅以已标价工程量清单或预算书中载明材料单价为基础超过</w:t>
      </w:r>
      <w:r>
        <w:rPr>
          <w:rFonts w:hint="eastAsia" w:ascii="宋体" w:hAnsi="宋体"/>
          <w:color w:val="auto"/>
          <w:sz w:val="21"/>
          <w:szCs w:val="21"/>
          <w:highlight w:val="none"/>
          <w:u w:val="single"/>
        </w:rPr>
        <w:t>10</w:t>
      </w:r>
      <w:r>
        <w:rPr>
          <w:rFonts w:ascii="宋体" w:hAnsi="宋体"/>
          <w:color w:val="auto"/>
          <w:sz w:val="21"/>
          <w:szCs w:val="21"/>
          <w:highlight w:val="none"/>
        </w:rPr>
        <w:t>%</w:t>
      </w:r>
      <w:r>
        <w:rPr>
          <w:rFonts w:hint="eastAsia" w:ascii="宋体" w:hAnsi="宋体"/>
          <w:color w:val="auto"/>
          <w:sz w:val="21"/>
          <w:szCs w:val="21"/>
          <w:highlight w:val="none"/>
        </w:rPr>
        <w:t>时，其超过部分据实调整。</w:t>
      </w:r>
    </w:p>
    <w:p w14:paraId="322AF8A1">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s="宋体"/>
          <w:color w:val="auto"/>
          <w:sz w:val="21"/>
          <w:szCs w:val="21"/>
          <w:highlight w:val="none"/>
        </w:rPr>
        <w:t>②</w:t>
      </w:r>
      <w:r>
        <w:rPr>
          <w:rFonts w:hint="eastAsia" w:ascii="宋体" w:hAnsi="宋体"/>
          <w:color w:val="auto"/>
          <w:sz w:val="21"/>
          <w:szCs w:val="21"/>
          <w:highlight w:val="none"/>
        </w:rPr>
        <w:t>承包方在已标价工程量清单或预算书中载明的材料单价高于基准价格的：专用合同条款合同履行期间材料单价跌幅以基准价格为基础超过</w:t>
      </w:r>
      <w:r>
        <w:rPr>
          <w:rFonts w:hint="eastAsia" w:ascii="宋体" w:hAnsi="宋体"/>
          <w:color w:val="auto"/>
          <w:sz w:val="21"/>
          <w:szCs w:val="21"/>
          <w:highlight w:val="none"/>
          <w:u w:val="single"/>
        </w:rPr>
        <w:t>10</w:t>
      </w:r>
      <w:r>
        <w:rPr>
          <w:rFonts w:ascii="宋体" w:hAnsi="宋体"/>
          <w:color w:val="auto"/>
          <w:sz w:val="21"/>
          <w:szCs w:val="21"/>
          <w:highlight w:val="none"/>
        </w:rPr>
        <w:t>%</w:t>
      </w:r>
      <w:r>
        <w:rPr>
          <w:rFonts w:hint="eastAsia" w:ascii="宋体" w:hAnsi="宋体"/>
          <w:color w:val="auto"/>
          <w:sz w:val="21"/>
          <w:szCs w:val="21"/>
          <w:highlight w:val="none"/>
        </w:rPr>
        <w:t>时，材料单价涨幅以已标价工程量清单或预算书中载明材料单价为基础超过</w:t>
      </w:r>
      <w:r>
        <w:rPr>
          <w:rFonts w:hint="eastAsia" w:ascii="宋体" w:hAnsi="宋体"/>
          <w:color w:val="auto"/>
          <w:sz w:val="21"/>
          <w:szCs w:val="21"/>
          <w:highlight w:val="none"/>
          <w:u w:val="single"/>
        </w:rPr>
        <w:t>10</w:t>
      </w:r>
      <w:r>
        <w:rPr>
          <w:rFonts w:ascii="宋体" w:hAnsi="宋体"/>
          <w:color w:val="auto"/>
          <w:sz w:val="21"/>
          <w:szCs w:val="21"/>
          <w:highlight w:val="none"/>
        </w:rPr>
        <w:t>%</w:t>
      </w:r>
      <w:r>
        <w:rPr>
          <w:rFonts w:hint="eastAsia" w:ascii="宋体" w:hAnsi="宋体"/>
          <w:color w:val="auto"/>
          <w:sz w:val="21"/>
          <w:szCs w:val="21"/>
          <w:highlight w:val="none"/>
        </w:rPr>
        <w:t>时，其超过部分据实调整。</w:t>
      </w:r>
    </w:p>
    <w:p w14:paraId="3F34CC06">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s="宋体"/>
          <w:color w:val="auto"/>
          <w:sz w:val="21"/>
          <w:szCs w:val="21"/>
          <w:highlight w:val="none"/>
        </w:rPr>
        <w:t>③</w:t>
      </w:r>
      <w:r>
        <w:rPr>
          <w:rFonts w:hint="eastAsia" w:ascii="宋体" w:hAnsi="宋体"/>
          <w:color w:val="auto"/>
          <w:sz w:val="21"/>
          <w:szCs w:val="21"/>
          <w:highlight w:val="none"/>
        </w:rPr>
        <w:t>承包方在已标价工程量清单或预算书中载明的材料单价等于基准单价的：专用合同条款合同履行期间材料单价涨跌幅以基准单价为基础超过</w:t>
      </w:r>
      <w:r>
        <w:rPr>
          <w:rFonts w:ascii="宋体" w:hAnsi="宋体"/>
          <w:color w:val="auto"/>
          <w:sz w:val="21"/>
          <w:szCs w:val="21"/>
          <w:highlight w:val="none"/>
        </w:rPr>
        <w:t>±</w:t>
      </w:r>
      <w:r>
        <w:rPr>
          <w:rFonts w:hint="eastAsia" w:ascii="宋体" w:hAnsi="宋体"/>
          <w:color w:val="auto"/>
          <w:sz w:val="21"/>
          <w:szCs w:val="21"/>
          <w:highlight w:val="none"/>
          <w:u w:val="single"/>
        </w:rPr>
        <w:t>10</w:t>
      </w:r>
      <w:r>
        <w:rPr>
          <w:rFonts w:ascii="宋体" w:hAnsi="宋体"/>
          <w:color w:val="auto"/>
          <w:sz w:val="21"/>
          <w:szCs w:val="21"/>
          <w:highlight w:val="none"/>
        </w:rPr>
        <w:t>%</w:t>
      </w:r>
      <w:r>
        <w:rPr>
          <w:rFonts w:hint="eastAsia" w:ascii="宋体" w:hAnsi="宋体"/>
          <w:color w:val="auto"/>
          <w:sz w:val="21"/>
          <w:szCs w:val="21"/>
          <w:highlight w:val="none"/>
        </w:rPr>
        <w:t>时，其超过部分据实调整。</w:t>
      </w:r>
    </w:p>
    <w:p w14:paraId="63AFBFB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④承包方的投标报价清单中采用独立费方式报价的，未体现人工、材料、机械、管理费、利润等组价方式时，当遇材料单价调减时，按控制价里的材料数量进行调减；当遇材料单价调增时，一律不予调增。</w:t>
      </w:r>
    </w:p>
    <w:p w14:paraId="2D8516CD">
      <w:pPr>
        <w:pageBreakBefore w:val="0"/>
        <w:kinsoku/>
        <w:wordWrap/>
        <w:overflowPunct/>
        <w:topLinePunct w:val="0"/>
        <w:autoSpaceDE/>
        <w:autoSpaceDN/>
        <w:bidi w:val="0"/>
        <w:adjustRightInd/>
        <w:snapToGrid w:val="0"/>
        <w:spacing w:line="312" w:lineRule="auto"/>
        <w:ind w:firstLine="420"/>
        <w:jc w:val="left"/>
        <w:textAlignment w:val="auto"/>
        <w:rPr>
          <w:rFonts w:ascii="Calibri" w:hAnsi="Calibri" w:cs="Calibri"/>
          <w:color w:val="auto"/>
          <w:sz w:val="21"/>
          <w:szCs w:val="21"/>
          <w:highlight w:val="none"/>
        </w:rPr>
      </w:pPr>
      <w:r>
        <w:rPr>
          <w:rFonts w:ascii="Calibri" w:hAnsi="Calibri" w:cs="Calibri"/>
          <w:color w:val="auto"/>
          <w:sz w:val="21"/>
          <w:szCs w:val="21"/>
          <w:highlight w:val="none"/>
        </w:rPr>
        <w:fldChar w:fldCharType="begin"/>
      </w:r>
      <w:r>
        <w:rPr>
          <w:rFonts w:ascii="Calibri" w:hAnsi="Calibri" w:cs="Calibri"/>
          <w:color w:val="auto"/>
          <w:sz w:val="21"/>
          <w:szCs w:val="21"/>
          <w:highlight w:val="none"/>
        </w:rPr>
        <w:instrText xml:space="preserve"> = 5 \* GB3 \* MERGEFORMAT </w:instrText>
      </w:r>
      <w:r>
        <w:rPr>
          <w:rFonts w:ascii="Calibri" w:hAnsi="Calibri" w:cs="Calibri"/>
          <w:color w:val="auto"/>
          <w:sz w:val="21"/>
          <w:szCs w:val="21"/>
          <w:highlight w:val="none"/>
        </w:rPr>
        <w:fldChar w:fldCharType="separate"/>
      </w:r>
      <w:r>
        <w:rPr>
          <w:color w:val="auto"/>
          <w:sz w:val="21"/>
          <w:szCs w:val="21"/>
          <w:highlight w:val="none"/>
        </w:rPr>
        <w:t>⑤</w:t>
      </w:r>
      <w:r>
        <w:rPr>
          <w:rFonts w:ascii="Calibri" w:hAnsi="Calibri" w:cs="Calibri"/>
          <w:color w:val="auto"/>
          <w:sz w:val="21"/>
          <w:szCs w:val="21"/>
          <w:highlight w:val="none"/>
        </w:rPr>
        <w:fldChar w:fldCharType="end"/>
      </w:r>
      <w:r>
        <w:rPr>
          <w:rFonts w:hint="eastAsia" w:ascii="Calibri" w:hAnsi="Calibri" w:cs="Calibri"/>
          <w:color w:val="auto"/>
          <w:sz w:val="21"/>
          <w:szCs w:val="21"/>
          <w:highlight w:val="none"/>
        </w:rPr>
        <w:t>承包方在施工期间，每月底按实际形象进度及时向监理单位提交已完月度工程量，经监理单位确认后作为结算调价依据；凡未及时经监理单位确认的，在结算时遇材料价格上涨时，符合上述</w:t>
      </w:r>
      <w:r>
        <w:rPr>
          <w:rFonts w:hint="eastAsia" w:ascii="宋体" w:hAnsi="宋体" w:cs="宋体"/>
          <w:color w:val="auto"/>
          <w:sz w:val="21"/>
          <w:szCs w:val="21"/>
          <w:highlight w:val="none"/>
        </w:rPr>
        <w:t>①②③条件时</w:t>
      </w:r>
      <w:r>
        <w:rPr>
          <w:rFonts w:hint="eastAsia" w:ascii="Calibri" w:hAnsi="Calibri" w:cs="Calibri"/>
          <w:color w:val="auto"/>
          <w:sz w:val="21"/>
          <w:szCs w:val="21"/>
          <w:highlight w:val="none"/>
        </w:rPr>
        <w:t>一律不予调增；遇材料价格下跌时，符合上述</w:t>
      </w:r>
      <w:r>
        <w:rPr>
          <w:rFonts w:hint="eastAsia" w:ascii="宋体" w:hAnsi="宋体" w:cs="宋体"/>
          <w:color w:val="auto"/>
          <w:sz w:val="21"/>
          <w:szCs w:val="21"/>
          <w:highlight w:val="none"/>
        </w:rPr>
        <w:t>①②③条件时</w:t>
      </w:r>
      <w:r>
        <w:rPr>
          <w:rFonts w:hint="eastAsia" w:ascii="Calibri" w:hAnsi="Calibri" w:cs="Calibri"/>
          <w:color w:val="auto"/>
          <w:sz w:val="21"/>
          <w:szCs w:val="21"/>
          <w:highlight w:val="none"/>
        </w:rPr>
        <w:t>按实调减。</w:t>
      </w:r>
    </w:p>
    <w:p w14:paraId="226905A8">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s="宋体"/>
          <w:color w:val="auto"/>
          <w:sz w:val="21"/>
          <w:szCs w:val="21"/>
          <w:highlight w:val="none"/>
          <w:shd w:val="clear" w:color="auto" w:fill="FFFFFF"/>
        </w:rPr>
      </w:pPr>
      <w:r>
        <w:rPr>
          <w:rFonts w:hint="eastAsia"/>
          <w:color w:val="auto"/>
          <w:sz w:val="21"/>
          <w:szCs w:val="21"/>
          <w:highlight w:val="none"/>
        </w:rPr>
        <w:t>⑥</w:t>
      </w:r>
      <w:r>
        <w:rPr>
          <w:rFonts w:hint="eastAsia" w:cs="宋体"/>
          <w:color w:val="auto"/>
          <w:sz w:val="21"/>
          <w:szCs w:val="21"/>
          <w:highlight w:val="none"/>
          <w:shd w:val="clear" w:color="auto" w:fill="FFFFFF"/>
        </w:rPr>
        <w:t>本合同约定的主材为</w:t>
      </w:r>
      <w:r>
        <w:rPr>
          <w:rFonts w:hint="eastAsia" w:ascii="宋体" w:hAnsi="宋体" w:cs="宋体"/>
          <w:color w:val="auto"/>
          <w:sz w:val="21"/>
          <w:szCs w:val="21"/>
          <w:highlight w:val="none"/>
          <w:shd w:val="clear" w:color="auto" w:fill="FFFFFF"/>
        </w:rPr>
        <w:t>投标文件中同类材料费占单位工程分部分项工程费5%以上的材料。</w:t>
      </w:r>
    </w:p>
    <w:p w14:paraId="0AEFD169">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s="宋体"/>
          <w:color w:val="auto"/>
          <w:sz w:val="21"/>
          <w:szCs w:val="21"/>
          <w:highlight w:val="none"/>
        </w:rPr>
      </w:pPr>
      <w:r>
        <w:rPr>
          <w:rFonts w:hint="eastAsia" w:cs="宋体"/>
          <w:color w:val="auto"/>
          <w:sz w:val="21"/>
          <w:szCs w:val="21"/>
          <w:highlight w:val="none"/>
          <w:shd w:val="clear" w:color="auto" w:fill="FFFFFF"/>
        </w:rPr>
        <w:t>⑦</w:t>
      </w:r>
      <w:r>
        <w:rPr>
          <w:rFonts w:hint="eastAsia" w:ascii="宋体" w:hAnsi="宋体" w:cs="宋体"/>
          <w:color w:val="auto"/>
          <w:sz w:val="21"/>
          <w:szCs w:val="21"/>
          <w:highlight w:val="none"/>
          <w:shd w:val="clear" w:color="auto" w:fill="FFFFFF"/>
        </w:rPr>
        <w:t>主要材料价差为施工期间主要建筑材料加权平均信息价与基准期当月材料信息价的差额，无信息价的</w:t>
      </w:r>
      <w:r>
        <w:rPr>
          <w:rFonts w:hint="eastAsia" w:cs="宋体"/>
          <w:color w:val="auto"/>
          <w:sz w:val="21"/>
          <w:szCs w:val="21"/>
          <w:highlight w:val="none"/>
          <w:shd w:val="clear" w:color="auto" w:fill="FFFFFF"/>
        </w:rPr>
        <w:t>不予调增</w:t>
      </w:r>
      <w:r>
        <w:rPr>
          <w:rFonts w:hint="eastAsia" w:ascii="宋体" w:hAnsi="宋体" w:cs="宋体"/>
          <w:color w:val="auto"/>
          <w:sz w:val="21"/>
          <w:szCs w:val="21"/>
          <w:highlight w:val="none"/>
          <w:shd w:val="clear" w:color="auto" w:fill="FFFFFF"/>
        </w:rPr>
        <w:t>。</w:t>
      </w:r>
    </w:p>
    <w:p w14:paraId="3F1B8134">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施工期间主要建筑材料加权平均信息价=Σ（每月实际使用量×当月材料信息价）／该材料总用量。</w:t>
      </w:r>
    </w:p>
    <w:p w14:paraId="4647A5AD">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⑧主要材料价差列入分部分项工程费计取相关费用及税金，材料价差不再让利，并作为追加（减）合同价款和工程进度款同期支付。</w:t>
      </w:r>
    </w:p>
    <w:p w14:paraId="4BDF07EF">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第</w:t>
      </w:r>
      <w:r>
        <w:rPr>
          <w:rFonts w:ascii="宋体" w:hAnsi="宋体"/>
          <w:color w:val="auto"/>
          <w:sz w:val="21"/>
          <w:szCs w:val="21"/>
          <w:highlight w:val="none"/>
        </w:rPr>
        <w:t>3</w:t>
      </w:r>
      <w:r>
        <w:rPr>
          <w:rFonts w:hint="eastAsia" w:ascii="宋体" w:hAnsi="宋体"/>
          <w:color w:val="auto"/>
          <w:sz w:val="21"/>
          <w:szCs w:val="21"/>
          <w:highlight w:val="none"/>
        </w:rPr>
        <w:t>种方式：其他价格调整方式：</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231B1C1E">
      <w:pPr>
        <w:pStyle w:val="5"/>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12. </w:t>
      </w:r>
      <w:r>
        <w:rPr>
          <w:rFonts w:hint="eastAsia" w:ascii="宋体" w:hAnsi="宋体"/>
          <w:bCs w:val="0"/>
          <w:color w:val="auto"/>
          <w:sz w:val="21"/>
          <w:szCs w:val="21"/>
          <w:highlight w:val="none"/>
        </w:rPr>
        <w:t>合同价格、计量与支付</w:t>
      </w:r>
    </w:p>
    <w:p w14:paraId="772F3AD1">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12.1 </w:t>
      </w:r>
      <w:r>
        <w:rPr>
          <w:rFonts w:hint="eastAsia" w:ascii="宋体" w:hAnsi="宋体"/>
          <w:color w:val="auto"/>
          <w:sz w:val="21"/>
          <w:szCs w:val="21"/>
          <w:highlight w:val="none"/>
        </w:rPr>
        <w:t>合同价格形式</w:t>
      </w:r>
    </w:p>
    <w:p w14:paraId="593B6612">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、单价合同。</w:t>
      </w:r>
    </w:p>
    <w:p w14:paraId="66920D7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综合单价包含的风险范围：</w:t>
      </w:r>
      <w:r>
        <w:rPr>
          <w:rFonts w:hint="eastAsia" w:ascii="宋体" w:hAnsi="宋体"/>
          <w:color w:val="auto"/>
          <w:sz w:val="21"/>
          <w:szCs w:val="21"/>
          <w:highlight w:val="none"/>
          <w:u w:val="single"/>
        </w:rPr>
        <w:t>市场价格波动、因法律变化引起的调整不包含在风险范围内</w:t>
      </w:r>
      <w:r>
        <w:rPr>
          <w:rFonts w:hint="eastAsia" w:ascii="宋体" w:hAnsi="宋体"/>
          <w:color w:val="auto"/>
          <w:sz w:val="21"/>
          <w:szCs w:val="21"/>
          <w:highlight w:val="none"/>
        </w:rPr>
        <w:t>。</w:t>
      </w:r>
    </w:p>
    <w:p w14:paraId="5B8EF471">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风险费用的计算方法：</w:t>
      </w:r>
      <w:r>
        <w:rPr>
          <w:rFonts w:hint="eastAsia" w:ascii="宋体" w:hAnsi="宋体"/>
          <w:color w:val="auto"/>
          <w:sz w:val="21"/>
          <w:szCs w:val="21"/>
          <w:highlight w:val="none"/>
          <w:u w:val="single"/>
        </w:rPr>
        <w:t>市场价格波动执行专用条款第11.1款第二种方式，因法律变化引起的调整执行通用条款第 11.2 款</w:t>
      </w:r>
      <w:r>
        <w:rPr>
          <w:rFonts w:hint="eastAsia" w:ascii="宋体" w:hAnsi="宋体"/>
          <w:color w:val="auto"/>
          <w:sz w:val="21"/>
          <w:szCs w:val="21"/>
          <w:highlight w:val="none"/>
        </w:rPr>
        <w:t>。</w:t>
      </w:r>
    </w:p>
    <w:p w14:paraId="64EF649A">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风险范围以外合同价格的调整方法：</w:t>
      </w:r>
      <w:r>
        <w:rPr>
          <w:rFonts w:hint="eastAsia" w:ascii="宋体" w:hAnsi="宋体"/>
          <w:color w:val="auto"/>
          <w:sz w:val="21"/>
          <w:szCs w:val="21"/>
          <w:highlight w:val="none"/>
          <w:u w:val="single"/>
        </w:rPr>
        <w:t>人工单价发生变化按照省造价管理总站发布的人工费等文件调整合同价格，并扣除原让利部分。但承包方对人工费或人工单价的报价高于发布价格的除外。如承包方的投标报价清单中采用独立费方式报价的，人工费政策性调减时，按控制价里的定额工日数量进行调减；在遇到政策性调增时，一律不予以调增。</w:t>
      </w:r>
    </w:p>
    <w:p w14:paraId="751712DF">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rPr>
        <w:t>、总价合同。</w:t>
      </w:r>
    </w:p>
    <w:p w14:paraId="205268C6">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总价包含的风险范围：</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27316545">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风险费用的计算方法：</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728B674A">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风险范围以外合同价格的调整方法：</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14D2ED4A">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3</w:t>
      </w:r>
      <w:r>
        <w:rPr>
          <w:rFonts w:hint="eastAsia" w:ascii="宋体" w:hAnsi="宋体"/>
          <w:color w:val="auto"/>
          <w:sz w:val="21"/>
          <w:szCs w:val="21"/>
          <w:highlight w:val="none"/>
        </w:rPr>
        <w:t>、其他价格方式：</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67CBAF4F">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12.2 </w:t>
      </w:r>
      <w:r>
        <w:rPr>
          <w:rFonts w:hint="eastAsia" w:ascii="宋体" w:hAnsi="宋体"/>
          <w:color w:val="auto"/>
          <w:sz w:val="21"/>
          <w:szCs w:val="21"/>
          <w:highlight w:val="none"/>
        </w:rPr>
        <w:t>预付款</w:t>
      </w:r>
    </w:p>
    <w:p w14:paraId="749B8CFE">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12.2.1 </w:t>
      </w:r>
      <w:r>
        <w:rPr>
          <w:rFonts w:hint="eastAsia" w:ascii="宋体" w:hAnsi="宋体"/>
          <w:color w:val="auto"/>
          <w:sz w:val="21"/>
          <w:szCs w:val="21"/>
          <w:highlight w:val="none"/>
        </w:rPr>
        <w:t>预付款的支付</w:t>
      </w:r>
    </w:p>
    <w:p w14:paraId="1741D044">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预付款支付比例或金额：</w:t>
      </w:r>
      <w:r>
        <w:rPr>
          <w:rFonts w:hint="eastAsia" w:ascii="宋体" w:hAnsi="宋体"/>
          <w:color w:val="auto"/>
          <w:sz w:val="21"/>
          <w:szCs w:val="21"/>
          <w:highlight w:val="none"/>
          <w:u w:val="single"/>
        </w:rPr>
        <w:t>按付款方式</w:t>
      </w:r>
      <w:r>
        <w:rPr>
          <w:rFonts w:hint="eastAsia" w:ascii="宋体" w:hAnsi="宋体"/>
          <w:color w:val="auto"/>
          <w:sz w:val="21"/>
          <w:szCs w:val="21"/>
          <w:highlight w:val="none"/>
        </w:rPr>
        <w:t>。</w:t>
      </w:r>
    </w:p>
    <w:p w14:paraId="506DA660">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预付款支付期限：</w:t>
      </w:r>
      <w:r>
        <w:rPr>
          <w:rFonts w:hint="eastAsia" w:ascii="宋体" w:hAnsi="宋体"/>
          <w:color w:val="auto"/>
          <w:sz w:val="21"/>
          <w:szCs w:val="21"/>
          <w:highlight w:val="none"/>
          <w:u w:val="single"/>
        </w:rPr>
        <w:t>按付款方式</w:t>
      </w:r>
      <w:r>
        <w:rPr>
          <w:rFonts w:hint="eastAsia" w:ascii="宋体" w:hAnsi="宋体"/>
          <w:color w:val="auto"/>
          <w:sz w:val="21"/>
          <w:szCs w:val="21"/>
          <w:highlight w:val="none"/>
        </w:rPr>
        <w:t>。</w:t>
      </w:r>
    </w:p>
    <w:p w14:paraId="3610C950">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预付款扣回的方式：</w:t>
      </w:r>
      <w:r>
        <w:rPr>
          <w:rFonts w:hint="eastAsia" w:ascii="宋体" w:hAnsi="宋体"/>
          <w:color w:val="auto"/>
          <w:sz w:val="21"/>
          <w:szCs w:val="21"/>
          <w:highlight w:val="none"/>
          <w:u w:val="single"/>
        </w:rPr>
        <w:t>/</w:t>
      </w:r>
      <w:r>
        <w:rPr>
          <w:rFonts w:hint="eastAsia" w:ascii="宋体" w:hAnsi="宋体"/>
          <w:color w:val="auto"/>
          <w:sz w:val="21"/>
          <w:szCs w:val="21"/>
          <w:highlight w:val="none"/>
        </w:rPr>
        <w:t>。</w:t>
      </w:r>
    </w:p>
    <w:p w14:paraId="3C8B7DED">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12.2.2 </w:t>
      </w:r>
      <w:r>
        <w:rPr>
          <w:rFonts w:hint="eastAsia" w:ascii="宋体" w:hAnsi="宋体"/>
          <w:color w:val="auto"/>
          <w:sz w:val="21"/>
          <w:szCs w:val="21"/>
          <w:highlight w:val="none"/>
        </w:rPr>
        <w:t>预付款担保</w:t>
      </w:r>
    </w:p>
    <w:p w14:paraId="3F71E100">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承包方提交预付款担保的期限：</w:t>
      </w:r>
      <w:r>
        <w:rPr>
          <w:rFonts w:hint="eastAsia" w:ascii="宋体" w:hAnsi="宋体"/>
          <w:color w:val="auto"/>
          <w:sz w:val="21"/>
          <w:szCs w:val="21"/>
          <w:highlight w:val="none"/>
          <w:u w:val="single"/>
        </w:rPr>
        <w:t>无</w:t>
      </w:r>
      <w:r>
        <w:rPr>
          <w:rFonts w:hint="eastAsia" w:ascii="宋体" w:hAnsi="宋体"/>
          <w:color w:val="auto"/>
          <w:sz w:val="21"/>
          <w:szCs w:val="21"/>
          <w:highlight w:val="none"/>
        </w:rPr>
        <w:t>。</w:t>
      </w:r>
    </w:p>
    <w:p w14:paraId="1B2E5DCC">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预付款担保的形式为：</w:t>
      </w:r>
      <w:r>
        <w:rPr>
          <w:rFonts w:hint="eastAsia" w:ascii="宋体" w:hAnsi="宋体"/>
          <w:color w:val="auto"/>
          <w:sz w:val="21"/>
          <w:szCs w:val="21"/>
          <w:highlight w:val="none"/>
          <w:u w:val="single"/>
        </w:rPr>
        <w:t>无</w:t>
      </w:r>
      <w:r>
        <w:rPr>
          <w:rFonts w:hint="eastAsia" w:ascii="宋体" w:hAnsi="宋体"/>
          <w:color w:val="auto"/>
          <w:sz w:val="21"/>
          <w:szCs w:val="21"/>
          <w:highlight w:val="none"/>
        </w:rPr>
        <w:t>。</w:t>
      </w:r>
    </w:p>
    <w:p w14:paraId="0B69580D">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12.3 </w:t>
      </w:r>
      <w:r>
        <w:rPr>
          <w:rFonts w:hint="eastAsia" w:ascii="宋体" w:hAnsi="宋体"/>
          <w:color w:val="auto"/>
          <w:sz w:val="21"/>
          <w:szCs w:val="21"/>
          <w:highlight w:val="none"/>
        </w:rPr>
        <w:t>计量</w:t>
      </w:r>
    </w:p>
    <w:p w14:paraId="608DFCF0">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12.3.1 </w:t>
      </w:r>
      <w:r>
        <w:rPr>
          <w:rFonts w:hint="eastAsia" w:ascii="宋体" w:hAnsi="宋体"/>
          <w:color w:val="auto"/>
          <w:sz w:val="21"/>
          <w:szCs w:val="21"/>
          <w:highlight w:val="none"/>
        </w:rPr>
        <w:t>计量原则</w:t>
      </w:r>
    </w:p>
    <w:p w14:paraId="15B04794">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工程量计算规则：</w:t>
      </w:r>
      <w:r>
        <w:rPr>
          <w:rFonts w:hint="eastAsia" w:ascii="宋体" w:hAnsi="宋体"/>
          <w:color w:val="auto"/>
          <w:sz w:val="21"/>
          <w:szCs w:val="21"/>
          <w:highlight w:val="none"/>
          <w:u w:val="single"/>
        </w:rPr>
        <w:t>工程量清单中的工程量计算规则按《建设工程工程量清单计价规范》（GB50500—2013）及《房屋建筑与装饰工程工程量计算规范》（GB50854-2013）等9本工程量计算规范执行</w:t>
      </w:r>
      <w:r>
        <w:rPr>
          <w:rFonts w:hint="eastAsia" w:ascii="宋体" w:hAnsi="宋体"/>
          <w:color w:val="auto"/>
          <w:sz w:val="21"/>
          <w:szCs w:val="21"/>
          <w:highlight w:val="none"/>
        </w:rPr>
        <w:t>。</w:t>
      </w:r>
    </w:p>
    <w:p w14:paraId="7B50BDB0">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12.3.2 </w:t>
      </w:r>
      <w:r>
        <w:rPr>
          <w:rFonts w:hint="eastAsia" w:ascii="宋体" w:hAnsi="宋体"/>
          <w:color w:val="auto"/>
          <w:sz w:val="21"/>
          <w:szCs w:val="21"/>
          <w:highlight w:val="none"/>
        </w:rPr>
        <w:t>计量周期</w:t>
      </w:r>
    </w:p>
    <w:p w14:paraId="5FC9AAF5">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关于计量周期的约定：</w:t>
      </w:r>
      <w:r>
        <w:rPr>
          <w:rFonts w:hint="eastAsia"/>
          <w:color w:val="auto"/>
          <w:sz w:val="21"/>
          <w:szCs w:val="21"/>
          <w:highlight w:val="none"/>
          <w:u w:val="single"/>
        </w:rPr>
        <w:t>每月计量</w:t>
      </w:r>
      <w:r>
        <w:rPr>
          <w:rFonts w:hint="eastAsia" w:ascii="宋体" w:hAnsi="宋体"/>
          <w:color w:val="auto"/>
          <w:sz w:val="21"/>
          <w:szCs w:val="21"/>
          <w:highlight w:val="none"/>
        </w:rPr>
        <w:t>。</w:t>
      </w:r>
    </w:p>
    <w:p w14:paraId="1E55CD48">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12.3.3 </w:t>
      </w:r>
      <w:r>
        <w:rPr>
          <w:rFonts w:hint="eastAsia" w:ascii="宋体" w:hAnsi="宋体"/>
          <w:color w:val="auto"/>
          <w:sz w:val="21"/>
          <w:szCs w:val="21"/>
          <w:highlight w:val="none"/>
        </w:rPr>
        <w:t>单价合同的计量</w:t>
      </w:r>
    </w:p>
    <w:p w14:paraId="28676271">
      <w:pPr>
        <w:pageBreakBefore w:val="0"/>
        <w:kinsoku/>
        <w:wordWrap/>
        <w:overflowPunct/>
        <w:topLinePunct w:val="0"/>
        <w:autoSpaceDE/>
        <w:autoSpaceDN/>
        <w:bidi w:val="0"/>
        <w:adjustRightInd/>
        <w:snapToGrid w:val="0"/>
        <w:spacing w:line="312" w:lineRule="auto"/>
        <w:ind w:firstLine="420"/>
        <w:jc w:val="left"/>
        <w:textAlignment w:val="auto"/>
        <w:rPr>
          <w:color w:val="auto"/>
          <w:sz w:val="21"/>
          <w:szCs w:val="21"/>
          <w:highlight w:val="none"/>
          <w:u w:val="single"/>
        </w:rPr>
      </w:pPr>
      <w:r>
        <w:rPr>
          <w:rFonts w:hint="eastAsia" w:ascii="宋体" w:hAnsi="宋体"/>
          <w:color w:val="auto"/>
          <w:sz w:val="21"/>
          <w:szCs w:val="21"/>
          <w:highlight w:val="none"/>
        </w:rPr>
        <w:t>关于单价合同计量的约定：</w:t>
      </w:r>
      <w:r>
        <w:rPr>
          <w:rFonts w:hint="eastAsia"/>
          <w:color w:val="auto"/>
          <w:sz w:val="21"/>
          <w:szCs w:val="21"/>
          <w:highlight w:val="none"/>
          <w:u w:val="single"/>
        </w:rPr>
        <w:t>1.工程计量时，若发现工程量清单中出现漏项、工程量计算偏差，以及工程变更引起工程量的增减，应按承包方在履行合同义务过程中实际完成的工程量计算。2．承包方应在每个月末或合同约定的工程段末对己完成的工程进行计量，向监理人（造价咨询企业）提交己完成工程量报表和有关计量资料。3．监理人（造价咨询企业）对承包方提交的工程量报表进行复核，以确定实际完成的工程量。对数量有异议的，可要求承包方进行共同复核。</w:t>
      </w:r>
    </w:p>
    <w:p w14:paraId="6754D78F">
      <w:pPr>
        <w:pageBreakBefore w:val="0"/>
        <w:kinsoku/>
        <w:wordWrap/>
        <w:overflowPunct/>
        <w:topLinePunct w:val="0"/>
        <w:autoSpaceDE/>
        <w:autoSpaceDN/>
        <w:bidi w:val="0"/>
        <w:adjustRightInd/>
        <w:snapToGrid w:val="0"/>
        <w:spacing w:line="312" w:lineRule="auto"/>
        <w:jc w:val="left"/>
        <w:textAlignment w:val="auto"/>
        <w:rPr>
          <w:rFonts w:ascii="宋体" w:hAnsi="宋体"/>
          <w:color w:val="auto"/>
          <w:sz w:val="21"/>
          <w:szCs w:val="21"/>
          <w:highlight w:val="none"/>
        </w:rPr>
      </w:pPr>
      <w:r>
        <w:rPr>
          <w:rFonts w:hint="eastAsia"/>
          <w:color w:val="auto"/>
          <w:sz w:val="21"/>
          <w:szCs w:val="21"/>
          <w:highlight w:val="none"/>
          <w:u w:val="single"/>
        </w:rPr>
        <w:t>承包方应协助监理人或造价咨询企业进行复核并按监理人（造价咨询企业）要求提供补充计量资料。承包方未按监理人（造价咨询企业）要求参加复核，监理人（造价咨询企业）复核或修正的工程量视为承包方实际完成的工程量。4．监理人（造价咨询企业）认为有必要时，可通知承包方共同进行联合测量、计量，承包方应遵照执行。5．承包人完成工程量清单中每个子目的工程量后，监理人（造价咨询企业）应要求承包方派人员共同对每个子目的历次计量报表进行汇总，以核实最终结算工程量。监理人（造价咨询企业）可要求承包方提供补充计量资料，以确定最后准确工程量。承包方未按监理人（造价咨询企业）要求派人员参加的，监理人</w:t>
      </w:r>
      <w:r>
        <w:rPr>
          <w:rFonts w:hint="eastAsia" w:ascii="宋体" w:hAnsi="宋体"/>
          <w:color w:val="auto"/>
          <w:sz w:val="21"/>
          <w:szCs w:val="21"/>
          <w:highlight w:val="none"/>
          <w:u w:val="single"/>
        </w:rPr>
        <w:t>（造价咨询企业）最终核实的工程量视为承包方完成该子目的准确工程量。6．监理人（造价咨询企业）应在收到承包方提交的工程量报表后的 7 天内进行复核</w:t>
      </w:r>
      <w:r>
        <w:rPr>
          <w:rFonts w:hint="eastAsia" w:ascii="宋体" w:hAnsi="宋体"/>
          <w:color w:val="auto"/>
          <w:sz w:val="21"/>
          <w:szCs w:val="21"/>
          <w:highlight w:val="none"/>
        </w:rPr>
        <w:t>。</w:t>
      </w:r>
    </w:p>
    <w:p w14:paraId="090209CA">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12.3.4 </w:t>
      </w:r>
      <w:r>
        <w:rPr>
          <w:rFonts w:hint="eastAsia" w:ascii="宋体" w:hAnsi="宋体"/>
          <w:color w:val="auto"/>
          <w:sz w:val="21"/>
          <w:szCs w:val="21"/>
          <w:highlight w:val="none"/>
        </w:rPr>
        <w:t>总价合同的计量</w:t>
      </w:r>
    </w:p>
    <w:p w14:paraId="5285A629">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关于总价合同计量的约定：</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65306C50">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12.3.5</w:t>
      </w:r>
      <w:r>
        <w:rPr>
          <w:rFonts w:hint="eastAsia" w:ascii="宋体" w:hAnsi="宋体"/>
          <w:color w:val="auto"/>
          <w:sz w:val="21"/>
          <w:szCs w:val="21"/>
          <w:highlight w:val="none"/>
        </w:rPr>
        <w:t>总价合同采用支付分解表计量支付的，是否适用第</w:t>
      </w:r>
      <w:r>
        <w:rPr>
          <w:rFonts w:ascii="宋体" w:hAnsi="宋体"/>
          <w:color w:val="auto"/>
          <w:sz w:val="21"/>
          <w:szCs w:val="21"/>
          <w:highlight w:val="none"/>
        </w:rPr>
        <w:t>12.3.4</w:t>
      </w:r>
      <w:r>
        <w:rPr>
          <w:rFonts w:hint="eastAsia" w:ascii="宋体" w:hAnsi="宋体"/>
          <w:color w:val="auto"/>
          <w:sz w:val="21"/>
          <w:szCs w:val="21"/>
          <w:highlight w:val="none"/>
        </w:rPr>
        <w:t>项〔总价合同的计量〕约定进行计量：</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4667674D">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12.3.6 </w:t>
      </w:r>
      <w:r>
        <w:rPr>
          <w:rFonts w:hint="eastAsia" w:ascii="宋体" w:hAnsi="宋体"/>
          <w:color w:val="auto"/>
          <w:sz w:val="21"/>
          <w:szCs w:val="21"/>
          <w:highlight w:val="none"/>
        </w:rPr>
        <w:t>其他价格形式合同的计量</w:t>
      </w:r>
    </w:p>
    <w:p w14:paraId="5C4E65C7">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其他价格形式的计量方式和程序：</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0781AD27">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12.4 </w:t>
      </w:r>
      <w:r>
        <w:rPr>
          <w:rFonts w:hint="eastAsia" w:ascii="宋体" w:hAnsi="宋体"/>
          <w:color w:val="auto"/>
          <w:sz w:val="21"/>
          <w:szCs w:val="21"/>
          <w:highlight w:val="none"/>
        </w:rPr>
        <w:t>工程进度款支付</w:t>
      </w:r>
    </w:p>
    <w:p w14:paraId="1FFD6C2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12.4.1 </w:t>
      </w:r>
      <w:r>
        <w:rPr>
          <w:rFonts w:hint="eastAsia" w:ascii="宋体" w:hAnsi="宋体"/>
          <w:color w:val="auto"/>
          <w:sz w:val="21"/>
          <w:szCs w:val="21"/>
          <w:highlight w:val="none"/>
        </w:rPr>
        <w:t>付款周期</w:t>
      </w:r>
    </w:p>
    <w:p w14:paraId="1A8DD264">
      <w:pPr>
        <w:pStyle w:val="43"/>
        <w:pageBreakBefore w:val="0"/>
        <w:kinsoku/>
        <w:wordWrap/>
        <w:overflowPunct/>
        <w:topLinePunct w:val="0"/>
        <w:autoSpaceDE/>
        <w:autoSpaceDN/>
        <w:bidi w:val="0"/>
        <w:adjustRightInd/>
        <w:snapToGrid w:val="0"/>
        <w:spacing w:after="0" w:line="312" w:lineRule="auto"/>
        <w:ind w:firstLine="420"/>
        <w:textAlignment w:val="auto"/>
        <w:rPr>
          <w:rFonts w:hint="eastAsia" w:ascii="宋体" w:hAnsi="宋体" w:eastAsia="宋体"/>
          <w:color w:val="auto"/>
          <w:sz w:val="21"/>
          <w:szCs w:val="21"/>
          <w:highlight w:val="none"/>
          <w:u w:val="single"/>
          <w:lang w:eastAsia="zh-CN"/>
        </w:rPr>
      </w:pPr>
      <w:r>
        <w:rPr>
          <w:rFonts w:hint="eastAsia" w:ascii="宋体" w:hAnsi="宋体" w:eastAsia="宋体"/>
          <w:color w:val="auto"/>
          <w:sz w:val="21"/>
          <w:szCs w:val="21"/>
          <w:highlight w:val="none"/>
          <w:u w:val="single"/>
        </w:rPr>
        <w:t>合同签订进场施工预付合同价（扣除暂列金额）的10%；按合格工程形象进度支付相应已完工程计量价款的80%，竣工结算审核后付至审定价的97%，余款作为质保金在工程竣验收合格两年后一次性付清(不计息)</w:t>
      </w:r>
      <w:r>
        <w:rPr>
          <w:rFonts w:hint="eastAsia" w:ascii="宋体" w:hAnsi="宋体" w:eastAsia="宋体"/>
          <w:color w:val="auto"/>
          <w:sz w:val="21"/>
          <w:szCs w:val="21"/>
          <w:highlight w:val="none"/>
          <w:u w:val="single"/>
          <w:lang w:eastAsia="zh-CN"/>
        </w:rPr>
        <w:t>。</w:t>
      </w:r>
    </w:p>
    <w:p w14:paraId="204F8B7D">
      <w:pPr>
        <w:pStyle w:val="43"/>
        <w:pageBreakBefore w:val="0"/>
        <w:kinsoku/>
        <w:wordWrap/>
        <w:overflowPunct/>
        <w:topLinePunct w:val="0"/>
        <w:autoSpaceDE/>
        <w:autoSpaceDN/>
        <w:bidi w:val="0"/>
        <w:adjustRightInd/>
        <w:snapToGrid w:val="0"/>
        <w:spacing w:after="0" w:line="312" w:lineRule="auto"/>
        <w:ind w:firstLine="420"/>
        <w:textAlignment w:val="auto"/>
        <w:rPr>
          <w:rFonts w:ascii="宋体" w:hAnsi="宋体"/>
          <w:color w:val="auto"/>
          <w:sz w:val="21"/>
          <w:szCs w:val="21"/>
          <w:highlight w:val="none"/>
        </w:rPr>
      </w:pPr>
      <w:r>
        <w:rPr>
          <w:rFonts w:hint="eastAsia" w:ascii="宋体" w:hAnsi="宋体" w:eastAsia="宋体"/>
          <w:color w:val="auto"/>
          <w:sz w:val="21"/>
          <w:szCs w:val="21"/>
          <w:highlight w:val="none"/>
        </w:rPr>
        <w:t>12.4.2 进度付款申请单的编制</w:t>
      </w:r>
    </w:p>
    <w:p w14:paraId="388D94FC">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关于进度付款申请单编制的约定：</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032219B5">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12.4.3 </w:t>
      </w:r>
      <w:r>
        <w:rPr>
          <w:rFonts w:hint="eastAsia" w:ascii="宋体" w:hAnsi="宋体"/>
          <w:color w:val="auto"/>
          <w:sz w:val="21"/>
          <w:szCs w:val="21"/>
          <w:highlight w:val="none"/>
        </w:rPr>
        <w:t>进度付款申请单的提交</w:t>
      </w:r>
    </w:p>
    <w:p w14:paraId="3CD61F36">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1</w:t>
      </w:r>
      <w:r>
        <w:rPr>
          <w:rFonts w:hint="eastAsia" w:ascii="宋体" w:hAnsi="宋体"/>
          <w:color w:val="auto"/>
          <w:sz w:val="21"/>
          <w:szCs w:val="21"/>
          <w:highlight w:val="none"/>
        </w:rPr>
        <w:t>）单价合同进度付款申请单提交的约定：</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36CE2B01">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2</w:t>
      </w:r>
      <w:r>
        <w:rPr>
          <w:rFonts w:hint="eastAsia" w:ascii="宋体" w:hAnsi="宋体"/>
          <w:color w:val="auto"/>
          <w:sz w:val="21"/>
          <w:szCs w:val="21"/>
          <w:highlight w:val="none"/>
        </w:rPr>
        <w:t>）总价合同进度付款申请单提交的约定：</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066B5F20">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3</w:t>
      </w:r>
      <w:r>
        <w:rPr>
          <w:rFonts w:hint="eastAsia" w:ascii="宋体" w:hAnsi="宋体"/>
          <w:color w:val="auto"/>
          <w:sz w:val="21"/>
          <w:szCs w:val="21"/>
          <w:highlight w:val="none"/>
        </w:rPr>
        <w:t>）其他价格形式合同进度付款申请单提交的约定：</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64A1E463">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12.4.4 </w:t>
      </w:r>
      <w:r>
        <w:rPr>
          <w:rFonts w:hint="eastAsia" w:ascii="宋体" w:hAnsi="宋体"/>
          <w:color w:val="auto"/>
          <w:sz w:val="21"/>
          <w:szCs w:val="21"/>
          <w:highlight w:val="none"/>
        </w:rPr>
        <w:t>进度款审核和支付</w:t>
      </w:r>
    </w:p>
    <w:p w14:paraId="031E30DC">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w:t>
      </w:r>
      <w:r>
        <w:rPr>
          <w:rFonts w:ascii="宋体" w:hAnsi="宋体"/>
          <w:color w:val="auto"/>
          <w:sz w:val="21"/>
          <w:szCs w:val="21"/>
          <w:highlight w:val="none"/>
        </w:rPr>
        <w:t>1</w:t>
      </w:r>
      <w:r>
        <w:rPr>
          <w:rFonts w:hint="eastAsia" w:ascii="宋体" w:hAnsi="宋体"/>
          <w:color w:val="auto"/>
          <w:sz w:val="21"/>
          <w:szCs w:val="21"/>
          <w:highlight w:val="none"/>
        </w:rPr>
        <w:t>）监理人审查并报送发包方的期限：</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337AAFB6">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发包方完成审批并签发进度款支付证书的期限：</w:t>
      </w:r>
      <w:r>
        <w:rPr>
          <w:rFonts w:hint="eastAsia"/>
          <w:color w:val="auto"/>
          <w:sz w:val="21"/>
          <w:szCs w:val="21"/>
          <w:highlight w:val="none"/>
          <w:u w:val="single"/>
        </w:rPr>
        <w:t>通用条款第12.4.4条第（1）款不执行，发包方在7天内完成审批并签发进度款支付证书</w:t>
      </w:r>
      <w:r>
        <w:rPr>
          <w:rFonts w:hint="eastAsia" w:ascii="宋体" w:hAnsi="宋体"/>
          <w:color w:val="auto"/>
          <w:sz w:val="21"/>
          <w:szCs w:val="21"/>
          <w:highlight w:val="none"/>
        </w:rPr>
        <w:t>。</w:t>
      </w:r>
    </w:p>
    <w:p w14:paraId="586FCEB7">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2</w:t>
      </w:r>
      <w:r>
        <w:rPr>
          <w:rFonts w:hint="eastAsia" w:ascii="宋体" w:hAnsi="宋体"/>
          <w:color w:val="auto"/>
          <w:sz w:val="21"/>
          <w:szCs w:val="21"/>
          <w:highlight w:val="none"/>
        </w:rPr>
        <w:t>）发包方支付进度款的期限：</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7FDD3A7A">
      <w:pPr>
        <w:pageBreakBefore w:val="0"/>
        <w:kinsoku/>
        <w:wordWrap/>
        <w:overflowPunct/>
        <w:topLinePunct w:val="0"/>
        <w:autoSpaceDE/>
        <w:autoSpaceDN/>
        <w:bidi w:val="0"/>
        <w:adjustRightInd/>
        <w:snapToGrid w:val="0"/>
        <w:spacing w:line="312" w:lineRule="auto"/>
        <w:ind w:firstLine="525"/>
        <w:jc w:val="left"/>
        <w:textAlignment w:val="auto"/>
        <w:rPr>
          <w:rFonts w:ascii="宋体" w:hAnsi="宋体"/>
          <w:color w:val="auto"/>
          <w:sz w:val="21"/>
          <w:szCs w:val="21"/>
          <w:highlight w:val="none"/>
        </w:rPr>
      </w:pPr>
      <w:r>
        <w:rPr>
          <w:rFonts w:hint="eastAsia" w:ascii="宋体" w:hAnsi="宋体"/>
          <w:color w:val="auto"/>
          <w:sz w:val="21"/>
          <w:szCs w:val="21"/>
          <w:highlight w:val="none"/>
        </w:rPr>
        <w:t>发包方逾期支付进度款的违约金的计算方式：</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5EF7981A">
      <w:pPr>
        <w:pageBreakBefore w:val="0"/>
        <w:kinsoku/>
        <w:wordWrap/>
        <w:overflowPunct/>
        <w:topLinePunct w:val="0"/>
        <w:autoSpaceDE/>
        <w:autoSpaceDN/>
        <w:bidi w:val="0"/>
        <w:adjustRightInd/>
        <w:snapToGrid w:val="0"/>
        <w:spacing w:line="312" w:lineRule="auto"/>
        <w:ind w:firstLine="525"/>
        <w:jc w:val="left"/>
        <w:textAlignment w:val="auto"/>
        <w:rPr>
          <w:rFonts w:ascii="宋体" w:hAnsi="宋体"/>
          <w:color w:val="auto"/>
          <w:sz w:val="21"/>
          <w:szCs w:val="21"/>
          <w:highlight w:val="none"/>
        </w:rPr>
      </w:pPr>
      <w:r>
        <w:rPr>
          <w:rFonts w:ascii="宋体" w:hAnsi="宋体"/>
          <w:color w:val="auto"/>
          <w:sz w:val="21"/>
          <w:szCs w:val="21"/>
          <w:highlight w:val="none"/>
        </w:rPr>
        <w:t>12.4.</w:t>
      </w:r>
      <w:r>
        <w:rPr>
          <w:rFonts w:hint="eastAsia" w:ascii="宋体" w:hAnsi="宋体"/>
          <w:color w:val="auto"/>
          <w:sz w:val="21"/>
          <w:szCs w:val="21"/>
          <w:highlight w:val="none"/>
        </w:rPr>
        <w:t>6支付分解表的编制</w:t>
      </w:r>
    </w:p>
    <w:p w14:paraId="71C4F6E2">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2、总价合同支付分解表的编制与审批：</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4CBFA2F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3、单价合同的总价项目支付分解表的编制与审批：</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3E20E6C2">
      <w:pPr>
        <w:pageBreakBefore w:val="0"/>
        <w:kinsoku/>
        <w:wordWrap/>
        <w:overflowPunct/>
        <w:topLinePunct w:val="0"/>
        <w:autoSpaceDE/>
        <w:autoSpaceDN/>
        <w:bidi w:val="0"/>
        <w:adjustRightInd/>
        <w:snapToGrid w:val="0"/>
        <w:spacing w:line="312" w:lineRule="auto"/>
        <w:ind w:firstLine="525"/>
        <w:jc w:val="left"/>
        <w:textAlignment w:val="auto"/>
        <w:rPr>
          <w:rFonts w:ascii="宋体" w:hAnsi="宋体"/>
          <w:color w:val="auto"/>
          <w:sz w:val="21"/>
          <w:szCs w:val="21"/>
          <w:highlight w:val="none"/>
        </w:rPr>
      </w:pPr>
      <w:r>
        <w:rPr>
          <w:rFonts w:hint="eastAsia" w:ascii="宋体" w:hAnsi="宋体"/>
          <w:color w:val="auto"/>
          <w:sz w:val="21"/>
          <w:szCs w:val="21"/>
          <w:highlight w:val="none"/>
        </w:rPr>
        <w:t>12.5 支付账户</w:t>
      </w:r>
    </w:p>
    <w:p w14:paraId="417AE1C1">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1、账户信息</w:t>
      </w:r>
    </w:p>
    <w:p w14:paraId="0CCE3D1C">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发包方应将合同价款依照合同约定，支付至合同协议书中约定的承包方账户，账户信息以合同协议书中承包方的开户银行和账号为准。</w:t>
      </w:r>
    </w:p>
    <w:p w14:paraId="68A155EC">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2、账户变更</w:t>
      </w:r>
    </w:p>
    <w:p w14:paraId="1676DDD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合同双方是否能自行变更支付账号：□是  □否</w:t>
      </w:r>
    </w:p>
    <w:p w14:paraId="2B3A903C">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如勾选“否”，则变更支付账号，需经原账户开户银行书面同意。”</w:t>
      </w:r>
    </w:p>
    <w:p w14:paraId="204E69D2">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注：承包方账户信息（开户行、账号），在主合同“合同协议书”中有明确表述。</w:t>
      </w:r>
    </w:p>
    <w:p w14:paraId="57DE99CC">
      <w:pPr>
        <w:pStyle w:val="5"/>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13. </w:t>
      </w:r>
      <w:r>
        <w:rPr>
          <w:rFonts w:hint="eastAsia" w:ascii="宋体" w:hAnsi="宋体"/>
          <w:bCs w:val="0"/>
          <w:color w:val="auto"/>
          <w:sz w:val="21"/>
          <w:szCs w:val="21"/>
          <w:highlight w:val="none"/>
        </w:rPr>
        <w:t>验收和工程试车</w:t>
      </w:r>
    </w:p>
    <w:p w14:paraId="4D81D204">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13.1 </w:t>
      </w:r>
      <w:r>
        <w:rPr>
          <w:rFonts w:hint="eastAsia" w:ascii="宋体" w:hAnsi="宋体"/>
          <w:color w:val="auto"/>
          <w:sz w:val="21"/>
          <w:szCs w:val="21"/>
          <w:highlight w:val="none"/>
        </w:rPr>
        <w:t>分部分项工程验收</w:t>
      </w:r>
    </w:p>
    <w:p w14:paraId="246D3607">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13.1.</w:t>
      </w:r>
      <w:r>
        <w:rPr>
          <w:rFonts w:hint="eastAsia" w:ascii="宋体" w:hAnsi="宋体"/>
          <w:color w:val="auto"/>
          <w:sz w:val="21"/>
          <w:szCs w:val="21"/>
          <w:highlight w:val="none"/>
        </w:rPr>
        <w:t>2监理人不能按时进行验收时，应提前</w:t>
      </w:r>
      <w:r>
        <w:rPr>
          <w:rFonts w:ascii="宋体" w:hAnsi="宋体"/>
          <w:color w:val="auto"/>
          <w:sz w:val="21"/>
          <w:szCs w:val="21"/>
          <w:highlight w:val="none"/>
          <w:u w:val="single"/>
        </w:rPr>
        <w:t xml:space="preserve"> 24 </w:t>
      </w:r>
      <w:r>
        <w:rPr>
          <w:rFonts w:hint="eastAsia" w:ascii="宋体" w:hAnsi="宋体"/>
          <w:color w:val="auto"/>
          <w:sz w:val="21"/>
          <w:szCs w:val="21"/>
          <w:highlight w:val="none"/>
        </w:rPr>
        <w:t>小时提交书面延期要求。</w:t>
      </w:r>
    </w:p>
    <w:p w14:paraId="51CF1C91">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b/>
          <w:color w:val="auto"/>
          <w:sz w:val="21"/>
          <w:szCs w:val="21"/>
          <w:highlight w:val="none"/>
        </w:rPr>
      </w:pPr>
      <w:r>
        <w:rPr>
          <w:rFonts w:hint="eastAsia" w:ascii="宋体" w:hAnsi="宋体"/>
          <w:color w:val="auto"/>
          <w:sz w:val="21"/>
          <w:szCs w:val="21"/>
          <w:highlight w:val="none"/>
        </w:rPr>
        <w:t>关于延期最长不得超过：</w:t>
      </w:r>
      <w:r>
        <w:rPr>
          <w:rFonts w:ascii="宋体" w:hAnsi="宋体"/>
          <w:color w:val="auto"/>
          <w:sz w:val="21"/>
          <w:szCs w:val="21"/>
          <w:highlight w:val="none"/>
          <w:u w:val="single"/>
        </w:rPr>
        <w:t xml:space="preserve"> 48 </w:t>
      </w:r>
      <w:r>
        <w:rPr>
          <w:rFonts w:hint="eastAsia" w:ascii="宋体" w:hAnsi="宋体"/>
          <w:color w:val="auto"/>
          <w:sz w:val="21"/>
          <w:szCs w:val="21"/>
          <w:highlight w:val="none"/>
        </w:rPr>
        <w:t>小时。</w:t>
      </w:r>
    </w:p>
    <w:p w14:paraId="13FF38F0">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13.2 </w:t>
      </w:r>
      <w:r>
        <w:rPr>
          <w:rFonts w:hint="eastAsia" w:ascii="宋体" w:hAnsi="宋体"/>
          <w:color w:val="auto"/>
          <w:sz w:val="21"/>
          <w:szCs w:val="21"/>
          <w:highlight w:val="none"/>
        </w:rPr>
        <w:t>竣工验收</w:t>
      </w:r>
    </w:p>
    <w:p w14:paraId="480F596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13.2.</w:t>
      </w:r>
      <w:r>
        <w:rPr>
          <w:rFonts w:hint="eastAsia" w:ascii="宋体" w:hAnsi="宋体"/>
          <w:color w:val="auto"/>
          <w:sz w:val="21"/>
          <w:szCs w:val="21"/>
          <w:highlight w:val="none"/>
        </w:rPr>
        <w:t>2竣工验收程序</w:t>
      </w:r>
    </w:p>
    <w:p w14:paraId="7393A35C">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关于竣工验收程序的约定：</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1F907A17">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发包方不按照本项约定组织竣工验收、颁发工程接收证书的违约金的计算方法：</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2EE20FAA">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13.2.</w:t>
      </w:r>
      <w:r>
        <w:rPr>
          <w:rFonts w:hint="eastAsia" w:ascii="宋体" w:hAnsi="宋体"/>
          <w:color w:val="auto"/>
          <w:sz w:val="21"/>
          <w:szCs w:val="21"/>
          <w:highlight w:val="none"/>
        </w:rPr>
        <w:t>5移交、接收全部与部分工程</w:t>
      </w:r>
    </w:p>
    <w:p w14:paraId="7E639C53">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承包方向发包方移交工程的期限：</w:t>
      </w:r>
      <w:r>
        <w:rPr>
          <w:rFonts w:hint="eastAsia" w:ascii="宋体" w:hAnsi="宋体"/>
          <w:color w:val="auto"/>
          <w:sz w:val="21"/>
          <w:szCs w:val="21"/>
          <w:highlight w:val="none"/>
          <w:u w:val="single"/>
        </w:rPr>
        <w:t>颁发工程接受证书后7天内完成工程的移交</w:t>
      </w:r>
      <w:r>
        <w:rPr>
          <w:rFonts w:hint="eastAsia" w:ascii="宋体" w:hAnsi="宋体"/>
          <w:color w:val="auto"/>
          <w:sz w:val="21"/>
          <w:szCs w:val="21"/>
          <w:highlight w:val="none"/>
        </w:rPr>
        <w:t>。</w:t>
      </w:r>
    </w:p>
    <w:p w14:paraId="32F368F5">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发包方未按本合同约定接收全部或部分工程的，违约金的计算方法为：</w:t>
      </w:r>
      <w:r>
        <w:rPr>
          <w:rFonts w:hint="eastAsia" w:ascii="宋体" w:hAnsi="宋体"/>
          <w:color w:val="auto"/>
          <w:sz w:val="21"/>
          <w:szCs w:val="21"/>
          <w:highlight w:val="none"/>
          <w:u w:val="single"/>
        </w:rPr>
        <w:t>双方另行约定</w:t>
      </w:r>
      <w:r>
        <w:rPr>
          <w:rFonts w:hint="eastAsia" w:ascii="宋体" w:hAnsi="宋体"/>
          <w:color w:val="auto"/>
          <w:sz w:val="21"/>
          <w:szCs w:val="21"/>
          <w:highlight w:val="none"/>
        </w:rPr>
        <w:t>。</w:t>
      </w:r>
    </w:p>
    <w:p w14:paraId="787541F7">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承包方未按时移交工程的，违约金的计算方法为：</w:t>
      </w:r>
      <w:r>
        <w:rPr>
          <w:rFonts w:hint="eastAsia"/>
          <w:color w:val="auto"/>
          <w:sz w:val="21"/>
          <w:szCs w:val="21"/>
          <w:highlight w:val="none"/>
          <w:u w:val="single"/>
        </w:rPr>
        <w:t>承包方未按时移交工程的</w:t>
      </w:r>
      <w:r>
        <w:rPr>
          <w:rFonts w:hint="eastAsia" w:ascii="宋体" w:hAnsi="宋体"/>
          <w:color w:val="auto"/>
          <w:sz w:val="21"/>
          <w:szCs w:val="21"/>
          <w:highlight w:val="none"/>
          <w:u w:val="single"/>
        </w:rPr>
        <w:t>每逾期1天，违约金按1000元人民币/天计算</w:t>
      </w:r>
      <w:r>
        <w:rPr>
          <w:rFonts w:hint="eastAsia"/>
          <w:color w:val="auto"/>
          <w:sz w:val="21"/>
          <w:szCs w:val="21"/>
          <w:highlight w:val="none"/>
        </w:rPr>
        <w:t>。</w:t>
      </w:r>
    </w:p>
    <w:p w14:paraId="23E37E80">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13.3 </w:t>
      </w:r>
      <w:r>
        <w:rPr>
          <w:rFonts w:hint="eastAsia" w:ascii="宋体" w:hAnsi="宋体"/>
          <w:color w:val="auto"/>
          <w:sz w:val="21"/>
          <w:szCs w:val="21"/>
          <w:highlight w:val="none"/>
        </w:rPr>
        <w:t>工程试车</w:t>
      </w:r>
    </w:p>
    <w:p w14:paraId="115CCE69">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13.3.1 </w:t>
      </w:r>
      <w:r>
        <w:rPr>
          <w:rFonts w:hint="eastAsia" w:ascii="宋体" w:hAnsi="宋体"/>
          <w:color w:val="auto"/>
          <w:sz w:val="21"/>
          <w:szCs w:val="21"/>
          <w:highlight w:val="none"/>
        </w:rPr>
        <w:t>试车程序</w:t>
      </w:r>
    </w:p>
    <w:p w14:paraId="4855D6A8">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工程试车内容：</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59E1966F">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1</w:t>
      </w:r>
      <w:r>
        <w:rPr>
          <w:rFonts w:hint="eastAsia" w:ascii="宋体" w:hAnsi="宋体"/>
          <w:color w:val="auto"/>
          <w:sz w:val="21"/>
          <w:szCs w:val="21"/>
          <w:highlight w:val="none"/>
        </w:rPr>
        <w:t>）单机无负荷试车费用由</w:t>
      </w:r>
      <w:r>
        <w:rPr>
          <w:rFonts w:hint="eastAsia" w:ascii="宋体" w:hAnsi="宋体"/>
          <w:color w:val="auto"/>
          <w:sz w:val="21"/>
          <w:szCs w:val="21"/>
          <w:highlight w:val="none"/>
          <w:u w:val="single"/>
        </w:rPr>
        <w:t>承包方</w:t>
      </w:r>
      <w:r>
        <w:rPr>
          <w:rFonts w:hint="eastAsia" w:ascii="宋体" w:hAnsi="宋体"/>
          <w:color w:val="auto"/>
          <w:sz w:val="21"/>
          <w:szCs w:val="21"/>
          <w:highlight w:val="none"/>
        </w:rPr>
        <w:t>承担；</w:t>
      </w:r>
    </w:p>
    <w:p w14:paraId="138C8945">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2</w:t>
      </w:r>
      <w:r>
        <w:rPr>
          <w:rFonts w:hint="eastAsia" w:ascii="宋体" w:hAnsi="宋体"/>
          <w:color w:val="auto"/>
          <w:sz w:val="21"/>
          <w:szCs w:val="21"/>
          <w:highlight w:val="none"/>
        </w:rPr>
        <w:t>）无负荷联动试车费用由</w:t>
      </w:r>
      <w:r>
        <w:rPr>
          <w:rFonts w:hint="eastAsia" w:ascii="宋体" w:hAnsi="宋体"/>
          <w:color w:val="auto"/>
          <w:sz w:val="21"/>
          <w:szCs w:val="21"/>
          <w:highlight w:val="none"/>
          <w:u w:val="single"/>
        </w:rPr>
        <w:t>承包方</w:t>
      </w:r>
      <w:r>
        <w:rPr>
          <w:rFonts w:hint="eastAsia" w:ascii="宋体" w:hAnsi="宋体"/>
          <w:color w:val="auto"/>
          <w:sz w:val="21"/>
          <w:szCs w:val="21"/>
          <w:highlight w:val="none"/>
        </w:rPr>
        <w:t>承担。</w:t>
      </w:r>
    </w:p>
    <w:p w14:paraId="2D54D0C2">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13.3.</w:t>
      </w:r>
      <w:r>
        <w:rPr>
          <w:rFonts w:hint="eastAsia" w:ascii="宋体" w:hAnsi="宋体"/>
          <w:color w:val="auto"/>
          <w:sz w:val="21"/>
          <w:szCs w:val="21"/>
          <w:highlight w:val="none"/>
        </w:rPr>
        <w:t>3投料试车</w:t>
      </w:r>
    </w:p>
    <w:p w14:paraId="6B01FB39">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关于投料试车相关事项的约定：</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7D67C6D5">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13.</w:t>
      </w:r>
      <w:r>
        <w:rPr>
          <w:rFonts w:hint="eastAsia" w:ascii="宋体" w:hAnsi="宋体"/>
          <w:color w:val="auto"/>
          <w:sz w:val="21"/>
          <w:szCs w:val="21"/>
          <w:highlight w:val="none"/>
        </w:rPr>
        <w:t>6竣工退场</w:t>
      </w:r>
    </w:p>
    <w:p w14:paraId="44716A6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13.</w:t>
      </w:r>
      <w:r>
        <w:rPr>
          <w:rFonts w:hint="eastAsia" w:ascii="宋体" w:hAnsi="宋体"/>
          <w:color w:val="auto"/>
          <w:sz w:val="21"/>
          <w:szCs w:val="21"/>
          <w:highlight w:val="none"/>
        </w:rPr>
        <w:t>6</w:t>
      </w:r>
      <w:r>
        <w:rPr>
          <w:rFonts w:ascii="宋体" w:hAnsi="宋体"/>
          <w:color w:val="auto"/>
          <w:sz w:val="21"/>
          <w:szCs w:val="21"/>
          <w:highlight w:val="none"/>
        </w:rPr>
        <w:t xml:space="preserve">.1 </w:t>
      </w:r>
      <w:r>
        <w:rPr>
          <w:rFonts w:hint="eastAsia" w:ascii="宋体" w:hAnsi="宋体"/>
          <w:color w:val="auto"/>
          <w:sz w:val="21"/>
          <w:szCs w:val="21"/>
          <w:highlight w:val="none"/>
        </w:rPr>
        <w:t>竣工退场</w:t>
      </w:r>
    </w:p>
    <w:p w14:paraId="50F93810">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承包方完成竣工退场的期限：</w:t>
      </w:r>
      <w:r>
        <w:rPr>
          <w:rFonts w:hint="eastAsia"/>
          <w:color w:val="auto"/>
          <w:sz w:val="21"/>
          <w:szCs w:val="21"/>
          <w:highlight w:val="none"/>
          <w:u w:val="single"/>
        </w:rPr>
        <w:t>另行协商</w:t>
      </w:r>
      <w:r>
        <w:rPr>
          <w:rFonts w:hint="eastAsia" w:ascii="宋体" w:hAnsi="宋体"/>
          <w:color w:val="auto"/>
          <w:sz w:val="21"/>
          <w:szCs w:val="21"/>
          <w:highlight w:val="none"/>
        </w:rPr>
        <w:t>。</w:t>
      </w:r>
    </w:p>
    <w:p w14:paraId="55D3ADF3">
      <w:pPr>
        <w:pStyle w:val="5"/>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14. </w:t>
      </w:r>
      <w:r>
        <w:rPr>
          <w:rFonts w:hint="eastAsia" w:ascii="宋体" w:hAnsi="宋体"/>
          <w:bCs w:val="0"/>
          <w:color w:val="auto"/>
          <w:sz w:val="21"/>
          <w:szCs w:val="21"/>
          <w:highlight w:val="none"/>
        </w:rPr>
        <w:t>竣工结算</w:t>
      </w:r>
    </w:p>
    <w:p w14:paraId="1C9DE831">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14.1 </w:t>
      </w:r>
      <w:r>
        <w:rPr>
          <w:rFonts w:hint="eastAsia" w:ascii="宋体" w:hAnsi="宋体"/>
          <w:color w:val="auto"/>
          <w:sz w:val="21"/>
          <w:szCs w:val="21"/>
          <w:highlight w:val="none"/>
        </w:rPr>
        <w:t>竣工结算申请</w:t>
      </w:r>
    </w:p>
    <w:p w14:paraId="11021A1F">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承包方提交竣工结算申请单的期限：</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1954BAC2">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竣工结算申请单应包括的内容：</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7FB61FA0">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14.2 </w:t>
      </w:r>
      <w:r>
        <w:rPr>
          <w:rFonts w:hint="eastAsia" w:ascii="宋体" w:hAnsi="宋体"/>
          <w:color w:val="auto"/>
          <w:sz w:val="21"/>
          <w:szCs w:val="21"/>
          <w:highlight w:val="none"/>
        </w:rPr>
        <w:t>竣工结算审核</w:t>
      </w:r>
    </w:p>
    <w:p w14:paraId="653C3650">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u w:val="single"/>
        </w:rPr>
      </w:pPr>
      <w:r>
        <w:rPr>
          <w:rFonts w:hint="eastAsia" w:ascii="宋体" w:hAnsi="宋体"/>
          <w:color w:val="auto"/>
          <w:sz w:val="21"/>
          <w:szCs w:val="21"/>
          <w:highlight w:val="none"/>
        </w:rPr>
        <w:t>发包方审批竣工付款申请单的期限：</w:t>
      </w:r>
      <w:r>
        <w:rPr>
          <w:rFonts w:hint="eastAsia" w:ascii="宋体" w:hAnsi="宋体"/>
          <w:color w:val="auto"/>
          <w:sz w:val="21"/>
          <w:szCs w:val="21"/>
          <w:highlight w:val="none"/>
          <w:u w:val="single"/>
        </w:rPr>
        <w:t>通用条款第14.2条第（1）款不执行。</w:t>
      </w:r>
      <w:r>
        <w:rPr>
          <w:rFonts w:hint="eastAsia"/>
          <w:color w:val="auto"/>
          <w:sz w:val="21"/>
          <w:szCs w:val="21"/>
          <w:highlight w:val="none"/>
          <w:u w:val="single"/>
        </w:rPr>
        <w:t>发包方在收到竣工结算申请单及相应支持性证明文件后委托审计，审计结束并经财政评审后支付相应工程款。在后期审计单位对该项目复审时发生的核减工程费，在收到发包方的退款通知后，将发包方多支付的工程款按核减金额在一个月内无条件退回。</w:t>
      </w:r>
    </w:p>
    <w:p w14:paraId="136DE6B4">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发包方完成竣工付款的期限：</w:t>
      </w:r>
      <w:r>
        <w:rPr>
          <w:rFonts w:hint="eastAsia" w:ascii="宋体" w:hAnsi="宋体"/>
          <w:color w:val="auto"/>
          <w:sz w:val="21"/>
          <w:szCs w:val="21"/>
          <w:highlight w:val="none"/>
          <w:u w:val="single"/>
        </w:rPr>
        <w:t>根据本项目付款方式</w:t>
      </w:r>
      <w:r>
        <w:rPr>
          <w:rFonts w:hint="eastAsia" w:ascii="宋体" w:hAnsi="宋体"/>
          <w:color w:val="auto"/>
          <w:sz w:val="21"/>
          <w:szCs w:val="21"/>
          <w:highlight w:val="none"/>
        </w:rPr>
        <w:t>。</w:t>
      </w:r>
    </w:p>
    <w:p w14:paraId="1DEE374D">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关于竣工付款证书异议部分复核的方式和程序：</w:t>
      </w:r>
      <w:r>
        <w:rPr>
          <w:rFonts w:hint="eastAsia" w:ascii="宋体" w:hAnsi="宋体"/>
          <w:color w:val="auto"/>
          <w:sz w:val="21"/>
          <w:szCs w:val="21"/>
          <w:highlight w:val="none"/>
          <w:u w:val="single"/>
        </w:rPr>
        <w:t>1、监理人在收到承包方进度付款申请单以及相应的支持性证明文件后的14天内完成核查，提出发包方到期应支付给承包方的金额以及相应的支持性材料，经发包方审查同意后，由监理人向承包方出具经发包方签认的进度付款证书。监理人有权扣发承包方未能按照合同要求履行任何工作或义务的相应金额。 2、发包方应在监理人收到进度付款申请单后的28天内，将进度应付款支付给承包方。发包方不按期支付的，按专用合同条款的约定支付逾期付款违约金。3、监理人出具进度付款证书，不应视为监理人已同意、批准或接受了承包方完成的该部分工作</w:t>
      </w:r>
      <w:r>
        <w:rPr>
          <w:rFonts w:hint="eastAsia" w:ascii="宋体" w:hAnsi="宋体"/>
          <w:color w:val="auto"/>
          <w:sz w:val="21"/>
          <w:szCs w:val="21"/>
          <w:highlight w:val="none"/>
        </w:rPr>
        <w:t>。</w:t>
      </w:r>
    </w:p>
    <w:p w14:paraId="06AE5707">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14.</w:t>
      </w:r>
      <w:r>
        <w:rPr>
          <w:rFonts w:hint="eastAsia" w:ascii="宋体" w:hAnsi="宋体"/>
          <w:color w:val="auto"/>
          <w:sz w:val="21"/>
          <w:szCs w:val="21"/>
          <w:highlight w:val="none"/>
        </w:rPr>
        <w:t>4最终结清</w:t>
      </w:r>
    </w:p>
    <w:p w14:paraId="390F1528">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14.</w:t>
      </w:r>
      <w:r>
        <w:rPr>
          <w:rFonts w:hint="eastAsia" w:ascii="宋体" w:hAnsi="宋体"/>
          <w:color w:val="auto"/>
          <w:sz w:val="21"/>
          <w:szCs w:val="21"/>
          <w:highlight w:val="none"/>
        </w:rPr>
        <w:t>4</w:t>
      </w:r>
      <w:r>
        <w:rPr>
          <w:rFonts w:ascii="宋体" w:hAnsi="宋体"/>
          <w:color w:val="auto"/>
          <w:sz w:val="21"/>
          <w:szCs w:val="21"/>
          <w:highlight w:val="none"/>
        </w:rPr>
        <w:t xml:space="preserve">.1 </w:t>
      </w:r>
      <w:r>
        <w:rPr>
          <w:rFonts w:hint="eastAsia" w:ascii="宋体" w:hAnsi="宋体"/>
          <w:color w:val="auto"/>
          <w:sz w:val="21"/>
          <w:szCs w:val="21"/>
          <w:highlight w:val="none"/>
        </w:rPr>
        <w:t>最终结清申请单</w:t>
      </w:r>
    </w:p>
    <w:p w14:paraId="3CA61BC3">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承包方提交最终结清申请单的份数：</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3293F41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承包方提交最终结算申请单的期限：</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55E5BC9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14.</w:t>
      </w:r>
      <w:r>
        <w:rPr>
          <w:rFonts w:hint="eastAsia" w:ascii="宋体" w:hAnsi="宋体"/>
          <w:color w:val="auto"/>
          <w:sz w:val="21"/>
          <w:szCs w:val="21"/>
          <w:highlight w:val="none"/>
        </w:rPr>
        <w:t>4</w:t>
      </w:r>
      <w:r>
        <w:rPr>
          <w:rFonts w:ascii="宋体" w:hAnsi="宋体"/>
          <w:color w:val="auto"/>
          <w:sz w:val="21"/>
          <w:szCs w:val="21"/>
          <w:highlight w:val="none"/>
        </w:rPr>
        <w:t xml:space="preserve">.2 </w:t>
      </w:r>
      <w:r>
        <w:rPr>
          <w:rFonts w:hint="eastAsia" w:ascii="宋体" w:hAnsi="宋体"/>
          <w:color w:val="auto"/>
          <w:sz w:val="21"/>
          <w:szCs w:val="21"/>
          <w:highlight w:val="none"/>
        </w:rPr>
        <w:t>最终结清证书和支付</w:t>
      </w:r>
    </w:p>
    <w:p w14:paraId="0C8801B0">
      <w:pPr>
        <w:pageBreakBefore w:val="0"/>
        <w:kinsoku/>
        <w:wordWrap/>
        <w:overflowPunct/>
        <w:topLinePunct w:val="0"/>
        <w:autoSpaceDE/>
        <w:autoSpaceDN/>
        <w:bidi w:val="0"/>
        <w:adjustRightInd/>
        <w:snapToGrid w:val="0"/>
        <w:spacing w:line="312" w:lineRule="auto"/>
        <w:ind w:firstLine="420"/>
        <w:jc w:val="both"/>
        <w:textAlignment w:val="auto"/>
        <w:rPr>
          <w:rFonts w:hint="eastAsia" w:ascii="宋体" w:hAnsi="宋体" w:eastAsia="宋体" w:cs="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1</w:t>
      </w:r>
      <w:r>
        <w:rPr>
          <w:rFonts w:hint="eastAsia" w:ascii="宋体" w:hAnsi="宋体"/>
          <w:color w:val="auto"/>
          <w:sz w:val="21"/>
          <w:szCs w:val="21"/>
          <w:highlight w:val="none"/>
        </w:rPr>
        <w:t>）发包方完成最终结清申请单的审批并颁发最终结清证书的期限：</w:t>
      </w:r>
      <w:r>
        <w:rPr>
          <w:rFonts w:hint="eastAsia" w:ascii="宋体" w:hAnsi="宋体" w:eastAsia="宋体" w:cs="宋体"/>
          <w:color w:val="auto"/>
          <w:sz w:val="21"/>
          <w:szCs w:val="21"/>
          <w:highlight w:val="none"/>
          <w:u w:val="single"/>
        </w:rPr>
        <w:t xml:space="preserve">通用条款第14.4.2第（1）款不执行，发包人应在收到承包人提交的最终结清申请单后14天内完成审批并向承包人颁发最终结清证书 </w:t>
      </w:r>
      <w:r>
        <w:rPr>
          <w:rFonts w:hint="eastAsia" w:ascii="宋体" w:hAnsi="宋体" w:eastAsia="宋体" w:cs="宋体"/>
          <w:color w:val="auto"/>
          <w:sz w:val="21"/>
          <w:szCs w:val="21"/>
          <w:highlight w:val="none"/>
        </w:rPr>
        <w:t>。</w:t>
      </w:r>
    </w:p>
    <w:p w14:paraId="4996746C">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2</w:t>
      </w:r>
      <w:r>
        <w:rPr>
          <w:rFonts w:hint="eastAsia" w:ascii="宋体" w:hAnsi="宋体"/>
          <w:color w:val="auto"/>
          <w:sz w:val="21"/>
          <w:szCs w:val="21"/>
          <w:highlight w:val="none"/>
        </w:rPr>
        <w:t>）发包方完成支付的期限：</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74D94A4D">
      <w:pPr>
        <w:pStyle w:val="5"/>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15. </w:t>
      </w:r>
      <w:r>
        <w:rPr>
          <w:rFonts w:hint="eastAsia" w:ascii="宋体" w:hAnsi="宋体"/>
          <w:bCs w:val="0"/>
          <w:color w:val="auto"/>
          <w:sz w:val="21"/>
          <w:szCs w:val="21"/>
          <w:highlight w:val="none"/>
        </w:rPr>
        <w:t>缺陷责任期与保修</w:t>
      </w:r>
    </w:p>
    <w:p w14:paraId="340566F2">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15.</w:t>
      </w:r>
      <w:r>
        <w:rPr>
          <w:rFonts w:hint="eastAsia" w:ascii="宋体" w:hAnsi="宋体"/>
          <w:color w:val="auto"/>
          <w:sz w:val="21"/>
          <w:szCs w:val="21"/>
          <w:highlight w:val="none"/>
        </w:rPr>
        <w:t>2缺陷责任期</w:t>
      </w:r>
    </w:p>
    <w:p w14:paraId="4601F47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缺陷责任期的具体期限：</w:t>
      </w:r>
      <w:r>
        <w:rPr>
          <w:rFonts w:hint="eastAsia" w:ascii="宋体" w:hAnsi="宋体"/>
          <w:color w:val="auto"/>
          <w:sz w:val="21"/>
          <w:szCs w:val="21"/>
          <w:highlight w:val="none"/>
          <w:u w:val="single"/>
        </w:rPr>
        <w:t>工程通过竣工验收之日起24个月</w:t>
      </w:r>
      <w:r>
        <w:rPr>
          <w:rFonts w:hint="eastAsia" w:ascii="宋体" w:hAnsi="宋体"/>
          <w:color w:val="auto"/>
          <w:sz w:val="21"/>
          <w:szCs w:val="21"/>
          <w:highlight w:val="none"/>
          <w:u w:val="single"/>
          <w:lang w:eastAsia="zh-CN"/>
        </w:rPr>
        <w:t>（</w:t>
      </w:r>
      <w:r>
        <w:rPr>
          <w:rFonts w:hint="eastAsia" w:ascii="宋体" w:hAnsi="宋体" w:eastAsia="宋体" w:cs="宋体"/>
          <w:color w:val="auto"/>
          <w:sz w:val="21"/>
          <w:szCs w:val="21"/>
          <w:highlight w:val="none"/>
          <w:u w:val="single"/>
        </w:rPr>
        <w:t>即养护期2年</w:t>
      </w:r>
      <w:r>
        <w:rPr>
          <w:rFonts w:hint="eastAsia" w:ascii="宋体" w:hAnsi="宋体"/>
          <w:color w:val="auto"/>
          <w:sz w:val="21"/>
          <w:szCs w:val="21"/>
          <w:highlight w:val="none"/>
          <w:u w:val="single"/>
          <w:lang w:eastAsia="zh-CN"/>
        </w:rPr>
        <w:t>）</w:t>
      </w:r>
      <w:r>
        <w:rPr>
          <w:rFonts w:hint="eastAsia" w:ascii="宋体" w:hAnsi="宋体"/>
          <w:color w:val="auto"/>
          <w:sz w:val="21"/>
          <w:szCs w:val="21"/>
          <w:highlight w:val="none"/>
        </w:rPr>
        <w:t>。</w:t>
      </w:r>
    </w:p>
    <w:p w14:paraId="48C5BB63">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15.</w:t>
      </w:r>
      <w:r>
        <w:rPr>
          <w:rFonts w:hint="eastAsia" w:ascii="宋体" w:hAnsi="宋体"/>
          <w:color w:val="auto"/>
          <w:sz w:val="21"/>
          <w:szCs w:val="21"/>
          <w:highlight w:val="none"/>
        </w:rPr>
        <w:t>3质量保证金</w:t>
      </w:r>
    </w:p>
    <w:p w14:paraId="48BA1516">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关于是否扣留质量保证金的约定：</w:t>
      </w:r>
      <w:r>
        <w:rPr>
          <w:rFonts w:hint="eastAsia" w:ascii="宋体" w:hAnsi="宋体"/>
          <w:color w:val="auto"/>
          <w:sz w:val="21"/>
          <w:szCs w:val="21"/>
          <w:highlight w:val="none"/>
          <w:u w:val="single"/>
        </w:rPr>
        <w:t>否</w:t>
      </w:r>
      <w:r>
        <w:rPr>
          <w:rFonts w:hint="eastAsia" w:ascii="宋体" w:hAnsi="宋体"/>
          <w:color w:val="auto"/>
          <w:sz w:val="21"/>
          <w:szCs w:val="21"/>
          <w:highlight w:val="none"/>
        </w:rPr>
        <w:t>。</w:t>
      </w:r>
    </w:p>
    <w:p w14:paraId="14E26D3D">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15.</w:t>
      </w:r>
      <w:r>
        <w:rPr>
          <w:rFonts w:hint="eastAsia" w:ascii="宋体" w:hAnsi="宋体"/>
          <w:color w:val="auto"/>
          <w:sz w:val="21"/>
          <w:szCs w:val="21"/>
          <w:highlight w:val="none"/>
        </w:rPr>
        <w:t>3</w:t>
      </w:r>
      <w:r>
        <w:rPr>
          <w:rFonts w:ascii="宋体" w:hAnsi="宋体"/>
          <w:color w:val="auto"/>
          <w:sz w:val="21"/>
          <w:szCs w:val="21"/>
          <w:highlight w:val="none"/>
        </w:rPr>
        <w:t xml:space="preserve">.1 </w:t>
      </w:r>
      <w:r>
        <w:rPr>
          <w:rFonts w:hint="eastAsia" w:ascii="宋体" w:hAnsi="宋体"/>
          <w:color w:val="auto"/>
          <w:sz w:val="21"/>
          <w:szCs w:val="21"/>
          <w:highlight w:val="none"/>
        </w:rPr>
        <w:t>承包方提供质量保证金的方式</w:t>
      </w:r>
    </w:p>
    <w:p w14:paraId="3E9B6FCA">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质量保证金采用以下第</w:t>
      </w:r>
      <w:r>
        <w:rPr>
          <w:rFonts w:hint="eastAsia" w:ascii="宋体" w:hAnsi="宋体"/>
          <w:color w:val="auto"/>
          <w:sz w:val="21"/>
          <w:szCs w:val="21"/>
          <w:highlight w:val="none"/>
          <w:u w:val="single"/>
        </w:rPr>
        <w:t>3</w:t>
      </w:r>
      <w:r>
        <w:rPr>
          <w:rFonts w:hint="eastAsia" w:ascii="宋体" w:hAnsi="宋体"/>
          <w:color w:val="auto"/>
          <w:sz w:val="21"/>
          <w:szCs w:val="21"/>
          <w:highlight w:val="none"/>
        </w:rPr>
        <w:t>种方式：</w:t>
      </w:r>
    </w:p>
    <w:p w14:paraId="2526ED1F">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1</w:t>
      </w:r>
      <w:r>
        <w:rPr>
          <w:rFonts w:hint="eastAsia" w:ascii="宋体" w:hAnsi="宋体"/>
          <w:color w:val="auto"/>
          <w:sz w:val="21"/>
          <w:szCs w:val="21"/>
          <w:highlight w:val="none"/>
        </w:rPr>
        <w:t>）质量保证金保函，保证金额为：</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4CDBFD1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2</w:t>
      </w:r>
      <w:r>
        <w:rPr>
          <w:rFonts w:hint="eastAsia" w:ascii="宋体" w:hAnsi="宋体"/>
          <w:color w:val="auto"/>
          <w:sz w:val="21"/>
          <w:szCs w:val="21"/>
          <w:highlight w:val="none"/>
        </w:rPr>
        <w:t>）</w:t>
      </w:r>
      <w:r>
        <w:rPr>
          <w:rFonts w:hint="eastAsia" w:ascii="宋体" w:hAnsi="宋体"/>
          <w:color w:val="auto"/>
          <w:sz w:val="21"/>
          <w:szCs w:val="21"/>
          <w:highlight w:val="none"/>
          <w:u w:val="single"/>
        </w:rPr>
        <w:t xml:space="preserve">  /  </w:t>
      </w:r>
      <w:r>
        <w:rPr>
          <w:rFonts w:ascii="宋体" w:hAnsi="宋体"/>
          <w:color w:val="auto"/>
          <w:sz w:val="21"/>
          <w:szCs w:val="21"/>
          <w:highlight w:val="none"/>
        </w:rPr>
        <w:t>%</w:t>
      </w:r>
      <w:r>
        <w:rPr>
          <w:rFonts w:hint="eastAsia" w:ascii="宋体" w:hAnsi="宋体"/>
          <w:color w:val="auto"/>
          <w:sz w:val="21"/>
          <w:szCs w:val="21"/>
          <w:highlight w:val="none"/>
        </w:rPr>
        <w:t>的工程款；</w:t>
      </w:r>
    </w:p>
    <w:p w14:paraId="66E4EE38">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w:t>
      </w:r>
      <w:r>
        <w:rPr>
          <w:rFonts w:ascii="宋体" w:hAnsi="宋体"/>
          <w:color w:val="auto"/>
          <w:sz w:val="21"/>
          <w:szCs w:val="21"/>
          <w:highlight w:val="none"/>
        </w:rPr>
        <w:t>3</w:t>
      </w:r>
      <w:r>
        <w:rPr>
          <w:rFonts w:hint="eastAsia" w:ascii="宋体" w:hAnsi="宋体"/>
          <w:color w:val="auto"/>
          <w:sz w:val="21"/>
          <w:szCs w:val="21"/>
          <w:highlight w:val="none"/>
        </w:rPr>
        <w:t>）其他方式：</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w:t>
      </w:r>
    </w:p>
    <w:p w14:paraId="047FAB5F">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15.</w:t>
      </w:r>
      <w:r>
        <w:rPr>
          <w:rFonts w:hint="eastAsia" w:ascii="宋体" w:hAnsi="宋体"/>
          <w:color w:val="auto"/>
          <w:sz w:val="21"/>
          <w:szCs w:val="21"/>
          <w:highlight w:val="none"/>
        </w:rPr>
        <w:t>3</w:t>
      </w:r>
      <w:r>
        <w:rPr>
          <w:rFonts w:ascii="宋体" w:hAnsi="宋体"/>
          <w:color w:val="auto"/>
          <w:sz w:val="21"/>
          <w:szCs w:val="21"/>
          <w:highlight w:val="none"/>
        </w:rPr>
        <w:t xml:space="preserve">.2 </w:t>
      </w:r>
      <w:r>
        <w:rPr>
          <w:rFonts w:hint="eastAsia" w:ascii="宋体" w:hAnsi="宋体"/>
          <w:color w:val="auto"/>
          <w:sz w:val="21"/>
          <w:szCs w:val="21"/>
          <w:highlight w:val="none"/>
        </w:rPr>
        <w:t>质量保证金的扣留</w:t>
      </w:r>
    </w:p>
    <w:p w14:paraId="6598A1F4">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质量保证金的扣留采取以下第</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种方式：</w:t>
      </w:r>
    </w:p>
    <w:p w14:paraId="3CAA64F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1</w:t>
      </w:r>
      <w:r>
        <w:rPr>
          <w:rFonts w:hint="eastAsia" w:ascii="宋体" w:hAnsi="宋体"/>
          <w:color w:val="auto"/>
          <w:sz w:val="21"/>
          <w:szCs w:val="21"/>
          <w:highlight w:val="none"/>
        </w:rPr>
        <w:t>）在支付工程进度款时逐次扣留，在此情形下，质量保证金的计算基数不包括预付款的支付、扣回以及价格调整的金额；</w:t>
      </w:r>
    </w:p>
    <w:p w14:paraId="26F41882">
      <w:pPr>
        <w:pageBreakBefore w:val="0"/>
        <w:kinsoku/>
        <w:wordWrap/>
        <w:overflowPunct/>
        <w:topLinePunct w:val="0"/>
        <w:autoSpaceDE/>
        <w:autoSpaceDN/>
        <w:bidi w:val="0"/>
        <w:adjustRightInd/>
        <w:snapToGrid w:val="0"/>
        <w:spacing w:line="312" w:lineRule="auto"/>
        <w:ind w:firstLine="424"/>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2</w:t>
      </w:r>
      <w:r>
        <w:rPr>
          <w:rFonts w:hint="eastAsia" w:ascii="宋体" w:hAnsi="宋体"/>
          <w:color w:val="auto"/>
          <w:sz w:val="21"/>
          <w:szCs w:val="21"/>
          <w:highlight w:val="none"/>
        </w:rPr>
        <w:t>）工程竣工结算时一次性扣留质量保证金；</w:t>
      </w:r>
    </w:p>
    <w:p w14:paraId="34C76F27">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3</w:t>
      </w:r>
      <w:r>
        <w:rPr>
          <w:rFonts w:hint="eastAsia" w:ascii="宋体" w:hAnsi="宋体"/>
          <w:color w:val="auto"/>
          <w:sz w:val="21"/>
          <w:szCs w:val="21"/>
          <w:highlight w:val="none"/>
        </w:rPr>
        <w:t>）其他扣留方式</w:t>
      </w:r>
      <w:r>
        <w:rPr>
          <w:rFonts w:ascii="宋体" w:hAnsi="宋体"/>
          <w:color w:val="auto"/>
          <w:sz w:val="21"/>
          <w:szCs w:val="21"/>
          <w:highlight w:val="none"/>
        </w:rPr>
        <w:t>:</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66013C82">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关于质量保证金的补充约定：</w:t>
      </w:r>
      <w:r>
        <w:rPr>
          <w:rFonts w:hint="eastAsia"/>
          <w:color w:val="auto"/>
          <w:sz w:val="21"/>
          <w:szCs w:val="21"/>
          <w:highlight w:val="none"/>
          <w:u w:val="single"/>
        </w:rPr>
        <w:t>承包方须按要求在发包方最后一次支付工程款之前提交工程质量保证金保险或保函</w:t>
      </w:r>
      <w:r>
        <w:rPr>
          <w:rFonts w:hint="eastAsia" w:ascii="宋体" w:hAnsi="宋体"/>
          <w:color w:val="auto"/>
          <w:sz w:val="21"/>
          <w:szCs w:val="21"/>
          <w:highlight w:val="none"/>
        </w:rPr>
        <w:t>。</w:t>
      </w:r>
    </w:p>
    <w:p w14:paraId="07C51003">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15.</w:t>
      </w:r>
      <w:r>
        <w:rPr>
          <w:rFonts w:hint="eastAsia" w:ascii="宋体" w:hAnsi="宋体"/>
          <w:color w:val="auto"/>
          <w:sz w:val="21"/>
          <w:szCs w:val="21"/>
          <w:highlight w:val="none"/>
        </w:rPr>
        <w:t>4保修</w:t>
      </w:r>
    </w:p>
    <w:p w14:paraId="433B4DE2">
      <w:pPr>
        <w:pageBreakBefore w:val="0"/>
        <w:kinsoku/>
        <w:wordWrap/>
        <w:overflowPunct/>
        <w:topLinePunct w:val="0"/>
        <w:autoSpaceDE/>
        <w:autoSpaceDN/>
        <w:bidi w:val="0"/>
        <w:adjustRightInd/>
        <w:snapToGrid w:val="0"/>
        <w:spacing w:line="312" w:lineRule="auto"/>
        <w:ind w:firstLine="409"/>
        <w:jc w:val="left"/>
        <w:textAlignment w:val="auto"/>
        <w:rPr>
          <w:rFonts w:ascii="宋体" w:hAnsi="宋体"/>
          <w:color w:val="auto"/>
          <w:sz w:val="21"/>
          <w:szCs w:val="21"/>
          <w:highlight w:val="none"/>
        </w:rPr>
      </w:pPr>
      <w:r>
        <w:rPr>
          <w:rFonts w:ascii="宋体" w:hAnsi="宋体"/>
          <w:color w:val="auto"/>
          <w:sz w:val="21"/>
          <w:szCs w:val="21"/>
          <w:highlight w:val="none"/>
        </w:rPr>
        <w:t>15.</w:t>
      </w:r>
      <w:r>
        <w:rPr>
          <w:rFonts w:hint="eastAsia" w:ascii="宋体" w:hAnsi="宋体"/>
          <w:color w:val="auto"/>
          <w:sz w:val="21"/>
          <w:szCs w:val="21"/>
          <w:highlight w:val="none"/>
        </w:rPr>
        <w:t>4</w:t>
      </w:r>
      <w:r>
        <w:rPr>
          <w:rFonts w:ascii="宋体" w:hAnsi="宋体"/>
          <w:color w:val="auto"/>
          <w:sz w:val="21"/>
          <w:szCs w:val="21"/>
          <w:highlight w:val="none"/>
        </w:rPr>
        <w:t xml:space="preserve">.1 </w:t>
      </w:r>
      <w:r>
        <w:rPr>
          <w:rFonts w:hint="eastAsia" w:ascii="宋体" w:hAnsi="宋体"/>
          <w:color w:val="auto"/>
          <w:sz w:val="21"/>
          <w:szCs w:val="21"/>
          <w:highlight w:val="none"/>
        </w:rPr>
        <w:t>保修责任</w:t>
      </w:r>
    </w:p>
    <w:p w14:paraId="7EDCE909">
      <w:pPr>
        <w:pageBreakBefore w:val="0"/>
        <w:kinsoku/>
        <w:wordWrap/>
        <w:overflowPunct/>
        <w:topLinePunct w:val="0"/>
        <w:autoSpaceDE/>
        <w:autoSpaceDN/>
        <w:bidi w:val="0"/>
        <w:adjustRightInd/>
        <w:snapToGrid w:val="0"/>
        <w:spacing w:line="312" w:lineRule="auto"/>
        <w:ind w:firstLine="409"/>
        <w:jc w:val="left"/>
        <w:textAlignment w:val="auto"/>
        <w:rPr>
          <w:color w:val="auto"/>
          <w:sz w:val="21"/>
          <w:szCs w:val="21"/>
          <w:highlight w:val="none"/>
          <w:u w:val="single"/>
        </w:rPr>
      </w:pPr>
      <w:r>
        <w:rPr>
          <w:rFonts w:hint="eastAsia" w:ascii="宋体" w:hAnsi="宋体"/>
          <w:color w:val="auto"/>
          <w:sz w:val="21"/>
          <w:szCs w:val="21"/>
          <w:highlight w:val="none"/>
        </w:rPr>
        <w:t>工程保修期为：</w:t>
      </w:r>
      <w:r>
        <w:rPr>
          <w:rFonts w:hint="eastAsia"/>
          <w:color w:val="auto"/>
          <w:sz w:val="21"/>
          <w:szCs w:val="21"/>
          <w:highlight w:val="none"/>
          <w:u w:val="single"/>
        </w:rPr>
        <w:t>从工程竣工验收合格之日起算，不得低于国家法定保修年限。1、基础设施工程、房屋建筑的地基基础工程和主体结构工程，为设计文件规定的该工程合理使用年限；2、屋面防水工程、有防水要求的卫生间、房间和外墙面的防渗漏为5年；3、供热与供冷系统，为2个采暖期、供冷期；4、电气管线、给排水管道、设备安装工程和装修工程为2年</w:t>
      </w:r>
      <w:r>
        <w:rPr>
          <w:rFonts w:hint="eastAsia"/>
          <w:color w:val="auto"/>
          <w:sz w:val="21"/>
          <w:szCs w:val="21"/>
          <w:highlight w:val="none"/>
        </w:rPr>
        <w:t>。</w:t>
      </w:r>
    </w:p>
    <w:p w14:paraId="38B859F2">
      <w:pPr>
        <w:pageBreakBefore w:val="0"/>
        <w:kinsoku/>
        <w:wordWrap/>
        <w:overflowPunct/>
        <w:topLinePunct w:val="0"/>
        <w:autoSpaceDE/>
        <w:autoSpaceDN/>
        <w:bidi w:val="0"/>
        <w:adjustRightInd/>
        <w:snapToGrid w:val="0"/>
        <w:spacing w:line="312" w:lineRule="auto"/>
        <w:ind w:firstLine="409"/>
        <w:jc w:val="left"/>
        <w:textAlignment w:val="auto"/>
        <w:rPr>
          <w:rFonts w:ascii="宋体" w:hAnsi="宋体"/>
          <w:color w:val="auto"/>
          <w:sz w:val="21"/>
          <w:szCs w:val="21"/>
          <w:highlight w:val="none"/>
        </w:rPr>
      </w:pPr>
      <w:r>
        <w:rPr>
          <w:rFonts w:hint="eastAsia" w:ascii="宋体" w:hAnsi="宋体"/>
          <w:color w:val="auto"/>
          <w:sz w:val="21"/>
          <w:szCs w:val="21"/>
          <w:highlight w:val="none"/>
          <w:u w:val="single"/>
        </w:rPr>
        <w:t>保修期内本合同出现任何质量、缺陷等问题，由承包方承担维修、更换、退货等所发生的的一切实际费用，因工程质量问题造成第三方人身伤害、财产损失的，承包方还应予以赔偿</w:t>
      </w:r>
      <w:r>
        <w:rPr>
          <w:rFonts w:hint="eastAsia" w:ascii="宋体" w:hAnsi="宋体"/>
          <w:color w:val="auto"/>
          <w:sz w:val="21"/>
          <w:szCs w:val="21"/>
          <w:highlight w:val="none"/>
        </w:rPr>
        <w:t>。</w:t>
      </w:r>
    </w:p>
    <w:p w14:paraId="6D597870">
      <w:pPr>
        <w:pageBreakBefore w:val="0"/>
        <w:kinsoku/>
        <w:wordWrap/>
        <w:overflowPunct/>
        <w:topLinePunct w:val="0"/>
        <w:autoSpaceDE/>
        <w:autoSpaceDN/>
        <w:bidi w:val="0"/>
        <w:adjustRightInd/>
        <w:snapToGrid w:val="0"/>
        <w:spacing w:line="312" w:lineRule="auto"/>
        <w:ind w:firstLine="409"/>
        <w:jc w:val="left"/>
        <w:textAlignment w:val="auto"/>
        <w:rPr>
          <w:rFonts w:ascii="宋体" w:hAnsi="宋体"/>
          <w:color w:val="auto"/>
          <w:sz w:val="21"/>
          <w:szCs w:val="21"/>
          <w:highlight w:val="none"/>
        </w:rPr>
      </w:pPr>
      <w:r>
        <w:rPr>
          <w:rFonts w:ascii="宋体" w:hAnsi="宋体"/>
          <w:color w:val="auto"/>
          <w:sz w:val="21"/>
          <w:szCs w:val="21"/>
          <w:highlight w:val="none"/>
        </w:rPr>
        <w:t>15.</w:t>
      </w:r>
      <w:r>
        <w:rPr>
          <w:rFonts w:hint="eastAsia" w:ascii="宋体" w:hAnsi="宋体"/>
          <w:color w:val="auto"/>
          <w:sz w:val="21"/>
          <w:szCs w:val="21"/>
          <w:highlight w:val="none"/>
        </w:rPr>
        <w:t>4</w:t>
      </w:r>
      <w:r>
        <w:rPr>
          <w:rFonts w:ascii="宋体" w:hAnsi="宋体"/>
          <w:color w:val="auto"/>
          <w:sz w:val="21"/>
          <w:szCs w:val="21"/>
          <w:highlight w:val="none"/>
        </w:rPr>
        <w:t>.</w:t>
      </w:r>
      <w:r>
        <w:rPr>
          <w:rFonts w:hint="eastAsia" w:ascii="宋体" w:hAnsi="宋体"/>
          <w:color w:val="auto"/>
          <w:sz w:val="21"/>
          <w:szCs w:val="21"/>
          <w:highlight w:val="none"/>
        </w:rPr>
        <w:t>3修复通知</w:t>
      </w:r>
    </w:p>
    <w:p w14:paraId="1A165C7F">
      <w:pPr>
        <w:pageBreakBefore w:val="0"/>
        <w:kinsoku/>
        <w:wordWrap/>
        <w:overflowPunct/>
        <w:topLinePunct w:val="0"/>
        <w:autoSpaceDE/>
        <w:autoSpaceDN/>
        <w:bidi w:val="0"/>
        <w:adjustRightInd/>
        <w:snapToGrid w:val="0"/>
        <w:spacing w:line="312" w:lineRule="auto"/>
        <w:ind w:firstLine="409"/>
        <w:jc w:val="left"/>
        <w:textAlignment w:val="auto"/>
        <w:rPr>
          <w:rFonts w:ascii="宋体" w:hAnsi="宋体"/>
          <w:color w:val="auto"/>
          <w:sz w:val="21"/>
          <w:szCs w:val="21"/>
          <w:highlight w:val="none"/>
        </w:rPr>
      </w:pPr>
      <w:r>
        <w:rPr>
          <w:rFonts w:hint="eastAsia" w:ascii="宋体" w:hAnsi="宋体"/>
          <w:color w:val="auto"/>
          <w:sz w:val="21"/>
          <w:szCs w:val="21"/>
          <w:highlight w:val="none"/>
        </w:rPr>
        <w:t>承包方收到保修通知并到达工程现场的合理时间：</w:t>
      </w:r>
      <w:r>
        <w:rPr>
          <w:rFonts w:hint="eastAsia" w:ascii="宋体" w:hAnsi="宋体"/>
          <w:color w:val="auto"/>
          <w:sz w:val="21"/>
          <w:szCs w:val="21"/>
          <w:highlight w:val="none"/>
          <w:u w:val="single"/>
        </w:rPr>
        <w:t>双方约定</w:t>
      </w:r>
      <w:r>
        <w:rPr>
          <w:rFonts w:hint="eastAsia" w:ascii="宋体" w:hAnsi="宋体"/>
          <w:color w:val="auto"/>
          <w:sz w:val="21"/>
          <w:szCs w:val="21"/>
          <w:highlight w:val="none"/>
        </w:rPr>
        <w:t>。</w:t>
      </w:r>
    </w:p>
    <w:p w14:paraId="16E201B0">
      <w:pPr>
        <w:pStyle w:val="5"/>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16. </w:t>
      </w:r>
      <w:r>
        <w:rPr>
          <w:rFonts w:hint="eastAsia" w:ascii="宋体" w:hAnsi="宋体"/>
          <w:bCs w:val="0"/>
          <w:color w:val="auto"/>
          <w:sz w:val="21"/>
          <w:szCs w:val="21"/>
          <w:highlight w:val="none"/>
        </w:rPr>
        <w:t>违约</w:t>
      </w:r>
    </w:p>
    <w:p w14:paraId="39652405">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16.1 </w:t>
      </w:r>
      <w:r>
        <w:rPr>
          <w:rFonts w:hint="eastAsia" w:ascii="宋体" w:hAnsi="宋体"/>
          <w:color w:val="auto"/>
          <w:sz w:val="21"/>
          <w:szCs w:val="21"/>
          <w:highlight w:val="none"/>
        </w:rPr>
        <w:t>发包方违约</w:t>
      </w:r>
    </w:p>
    <w:p w14:paraId="7F7B3403">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16.1.1</w:t>
      </w:r>
      <w:r>
        <w:rPr>
          <w:rFonts w:hint="eastAsia" w:ascii="宋体" w:hAnsi="宋体"/>
          <w:color w:val="auto"/>
          <w:sz w:val="21"/>
          <w:szCs w:val="21"/>
          <w:highlight w:val="none"/>
        </w:rPr>
        <w:t>发包方违约的情形</w:t>
      </w:r>
    </w:p>
    <w:p w14:paraId="45BD122E">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发包方违约的其他情形：</w:t>
      </w:r>
      <w:r>
        <w:rPr>
          <w:rFonts w:hint="eastAsia" w:ascii="宋体" w:hAnsi="宋体"/>
          <w:color w:val="auto"/>
          <w:sz w:val="21"/>
          <w:szCs w:val="21"/>
          <w:highlight w:val="none"/>
          <w:u w:val="single"/>
        </w:rPr>
        <w:t>无</w:t>
      </w:r>
      <w:r>
        <w:rPr>
          <w:rFonts w:hint="eastAsia" w:ascii="宋体" w:hAnsi="宋体"/>
          <w:color w:val="auto"/>
          <w:sz w:val="21"/>
          <w:szCs w:val="21"/>
          <w:highlight w:val="none"/>
        </w:rPr>
        <w:t>。</w:t>
      </w:r>
    </w:p>
    <w:p w14:paraId="0308DF9D">
      <w:pPr>
        <w:pageBreakBefore w:val="0"/>
        <w:kinsoku/>
        <w:wordWrap/>
        <w:overflowPunct/>
        <w:topLinePunct w:val="0"/>
        <w:autoSpaceDE/>
        <w:autoSpaceDN/>
        <w:bidi w:val="0"/>
        <w:adjustRightInd/>
        <w:snapToGrid w:val="0"/>
        <w:spacing w:line="312" w:lineRule="auto"/>
        <w:ind w:left="1050" w:hanging="1050"/>
        <w:jc w:val="left"/>
        <w:textAlignment w:val="auto"/>
        <w:rPr>
          <w:rFonts w:ascii="宋体" w:hAnsi="宋体"/>
          <w:color w:val="auto"/>
          <w:sz w:val="21"/>
          <w:szCs w:val="21"/>
          <w:highlight w:val="none"/>
        </w:rPr>
      </w:pPr>
      <w:r>
        <w:rPr>
          <w:rFonts w:ascii="宋体" w:hAnsi="宋体"/>
          <w:color w:val="auto"/>
          <w:sz w:val="21"/>
          <w:szCs w:val="21"/>
          <w:highlight w:val="none"/>
        </w:rPr>
        <w:t xml:space="preserve">    16.1.2 </w:t>
      </w:r>
      <w:r>
        <w:rPr>
          <w:rFonts w:hint="eastAsia" w:ascii="宋体" w:hAnsi="宋体"/>
          <w:color w:val="auto"/>
          <w:sz w:val="21"/>
          <w:szCs w:val="21"/>
          <w:highlight w:val="none"/>
        </w:rPr>
        <w:t>发包方违约的责任</w:t>
      </w:r>
    </w:p>
    <w:p w14:paraId="384A3679">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发包方违约责任的承担方式和计算方法：</w:t>
      </w:r>
    </w:p>
    <w:p w14:paraId="1C27AED1">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w:t>
      </w:r>
      <w:r>
        <w:rPr>
          <w:rFonts w:ascii="宋体" w:hAnsi="宋体"/>
          <w:color w:val="auto"/>
          <w:sz w:val="21"/>
          <w:szCs w:val="21"/>
          <w:highlight w:val="none"/>
        </w:rPr>
        <w:t>1</w:t>
      </w:r>
      <w:r>
        <w:rPr>
          <w:rFonts w:hint="eastAsia" w:ascii="宋体" w:hAnsi="宋体"/>
          <w:color w:val="auto"/>
          <w:sz w:val="21"/>
          <w:szCs w:val="21"/>
          <w:highlight w:val="none"/>
        </w:rPr>
        <w:t>）因发包方原因未能在计划开工日期前</w:t>
      </w:r>
      <w:r>
        <w:rPr>
          <w:rFonts w:ascii="宋体" w:hAnsi="宋体"/>
          <w:color w:val="auto"/>
          <w:sz w:val="21"/>
          <w:szCs w:val="21"/>
          <w:highlight w:val="none"/>
        </w:rPr>
        <w:t>7</w:t>
      </w:r>
      <w:r>
        <w:rPr>
          <w:rFonts w:hint="eastAsia" w:ascii="宋体" w:hAnsi="宋体"/>
          <w:color w:val="auto"/>
          <w:sz w:val="21"/>
          <w:szCs w:val="21"/>
          <w:highlight w:val="none"/>
        </w:rPr>
        <w:t>天内下达开工通知的违约责任：</w:t>
      </w:r>
      <w:r>
        <w:rPr>
          <w:rFonts w:hint="eastAsia" w:ascii="宋体" w:hAnsi="宋体"/>
          <w:color w:val="auto"/>
          <w:sz w:val="21"/>
          <w:szCs w:val="21"/>
          <w:highlight w:val="none"/>
          <w:u w:val="single"/>
        </w:rPr>
        <w:t>工期顺延</w:t>
      </w:r>
      <w:r>
        <w:rPr>
          <w:rFonts w:hint="eastAsia" w:ascii="宋体" w:hAnsi="宋体"/>
          <w:color w:val="auto"/>
          <w:sz w:val="21"/>
          <w:szCs w:val="21"/>
          <w:highlight w:val="none"/>
        </w:rPr>
        <w:t>。</w:t>
      </w:r>
    </w:p>
    <w:p w14:paraId="7262B485">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2</w:t>
      </w:r>
      <w:r>
        <w:rPr>
          <w:rFonts w:hint="eastAsia" w:ascii="宋体" w:hAnsi="宋体"/>
          <w:color w:val="auto"/>
          <w:sz w:val="21"/>
          <w:szCs w:val="21"/>
          <w:highlight w:val="none"/>
        </w:rPr>
        <w:t>）因发包方原因未能按合同约定支付合同价款的违约责任：</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48E8458A">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3</w:t>
      </w:r>
      <w:r>
        <w:rPr>
          <w:rFonts w:hint="eastAsia" w:ascii="宋体" w:hAnsi="宋体"/>
          <w:color w:val="auto"/>
          <w:sz w:val="21"/>
          <w:szCs w:val="21"/>
          <w:highlight w:val="none"/>
        </w:rPr>
        <w:t>）发包方违反第</w:t>
      </w:r>
      <w:r>
        <w:rPr>
          <w:rFonts w:ascii="宋体" w:hAnsi="宋体"/>
          <w:color w:val="auto"/>
          <w:sz w:val="21"/>
          <w:szCs w:val="21"/>
          <w:highlight w:val="none"/>
        </w:rPr>
        <w:t>10.1</w:t>
      </w:r>
      <w:r>
        <w:rPr>
          <w:rFonts w:hint="eastAsia" w:ascii="宋体" w:hAnsi="宋体"/>
          <w:color w:val="auto"/>
          <w:sz w:val="21"/>
          <w:szCs w:val="21"/>
          <w:highlight w:val="none"/>
        </w:rPr>
        <w:t>款〔变更的范围〕第（</w:t>
      </w:r>
      <w:r>
        <w:rPr>
          <w:rFonts w:ascii="宋体" w:hAnsi="宋体"/>
          <w:color w:val="auto"/>
          <w:sz w:val="21"/>
          <w:szCs w:val="21"/>
          <w:highlight w:val="none"/>
        </w:rPr>
        <w:t>2</w:t>
      </w:r>
      <w:r>
        <w:rPr>
          <w:rFonts w:hint="eastAsia" w:ascii="宋体" w:hAnsi="宋体"/>
          <w:color w:val="auto"/>
          <w:sz w:val="21"/>
          <w:szCs w:val="21"/>
          <w:highlight w:val="none"/>
        </w:rPr>
        <w:t>）项约定，自行实施被取消的工作或转由他人实施的违约责任：</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449BBC0E">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4</w:t>
      </w:r>
      <w:r>
        <w:rPr>
          <w:rFonts w:hint="eastAsia" w:ascii="宋体" w:hAnsi="宋体"/>
          <w:color w:val="auto"/>
          <w:sz w:val="21"/>
          <w:szCs w:val="21"/>
          <w:highlight w:val="none"/>
        </w:rPr>
        <w:t>）发包方提供的材料、工程设备的规格、数量或质量不符合合同约定，或因发包方原因导致交货日期延误或交货地点变更等情况的违约责任：</w:t>
      </w:r>
      <w:r>
        <w:rPr>
          <w:rFonts w:hint="eastAsia" w:ascii="宋体" w:hAnsi="宋体"/>
          <w:color w:val="auto"/>
          <w:sz w:val="21"/>
          <w:szCs w:val="21"/>
          <w:highlight w:val="none"/>
          <w:u w:val="single"/>
        </w:rPr>
        <w:t>工期顺延</w:t>
      </w:r>
      <w:r>
        <w:rPr>
          <w:rFonts w:hint="eastAsia" w:ascii="宋体" w:hAnsi="宋体"/>
          <w:color w:val="auto"/>
          <w:sz w:val="21"/>
          <w:szCs w:val="21"/>
          <w:highlight w:val="none"/>
        </w:rPr>
        <w:t>。</w:t>
      </w:r>
    </w:p>
    <w:p w14:paraId="42D30C84">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w:t>
      </w:r>
      <w:r>
        <w:rPr>
          <w:rFonts w:ascii="宋体" w:hAnsi="宋体"/>
          <w:color w:val="auto"/>
          <w:sz w:val="21"/>
          <w:szCs w:val="21"/>
          <w:highlight w:val="none"/>
        </w:rPr>
        <w:t>5</w:t>
      </w:r>
      <w:r>
        <w:rPr>
          <w:rFonts w:hint="eastAsia" w:ascii="宋体" w:hAnsi="宋体"/>
          <w:color w:val="auto"/>
          <w:sz w:val="21"/>
          <w:szCs w:val="21"/>
          <w:highlight w:val="none"/>
        </w:rPr>
        <w:t>）因发包方违反合同约定造成暂停施工的违约责任：</w:t>
      </w:r>
      <w:r>
        <w:rPr>
          <w:rFonts w:hint="eastAsia" w:ascii="宋体" w:hAnsi="宋体"/>
          <w:color w:val="auto"/>
          <w:sz w:val="21"/>
          <w:szCs w:val="21"/>
          <w:highlight w:val="none"/>
          <w:u w:val="single"/>
        </w:rPr>
        <w:t>工期顺延</w:t>
      </w:r>
      <w:r>
        <w:rPr>
          <w:rFonts w:hint="eastAsia" w:ascii="宋体" w:hAnsi="宋体"/>
          <w:color w:val="auto"/>
          <w:sz w:val="21"/>
          <w:szCs w:val="21"/>
          <w:highlight w:val="none"/>
        </w:rPr>
        <w:t>。</w:t>
      </w:r>
    </w:p>
    <w:p w14:paraId="02FC0B86">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6</w:t>
      </w:r>
      <w:r>
        <w:rPr>
          <w:rFonts w:hint="eastAsia" w:ascii="宋体" w:hAnsi="宋体"/>
          <w:color w:val="auto"/>
          <w:sz w:val="21"/>
          <w:szCs w:val="21"/>
          <w:highlight w:val="none"/>
        </w:rPr>
        <w:t>）发包方无正当理由没有在约定期限内发出复工指示，导致承包方无法复工的违约责任：</w:t>
      </w:r>
      <w:r>
        <w:rPr>
          <w:rFonts w:hint="eastAsia" w:ascii="宋体" w:hAnsi="宋体"/>
          <w:color w:val="auto"/>
          <w:sz w:val="21"/>
          <w:szCs w:val="21"/>
          <w:highlight w:val="none"/>
          <w:u w:val="single"/>
        </w:rPr>
        <w:t>工期顺延</w:t>
      </w:r>
      <w:r>
        <w:rPr>
          <w:rFonts w:hint="eastAsia" w:ascii="宋体" w:hAnsi="宋体"/>
          <w:color w:val="auto"/>
          <w:sz w:val="21"/>
          <w:szCs w:val="21"/>
          <w:highlight w:val="none"/>
        </w:rPr>
        <w:t>。</w:t>
      </w:r>
    </w:p>
    <w:p w14:paraId="6224785D">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7</w:t>
      </w:r>
      <w:r>
        <w:rPr>
          <w:rFonts w:hint="eastAsia" w:ascii="宋体" w:hAnsi="宋体"/>
          <w:color w:val="auto"/>
          <w:sz w:val="21"/>
          <w:szCs w:val="21"/>
          <w:highlight w:val="none"/>
        </w:rPr>
        <w:t>）其他：</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6123E342">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16.1.3 </w:t>
      </w:r>
      <w:r>
        <w:rPr>
          <w:rFonts w:hint="eastAsia" w:ascii="宋体" w:hAnsi="宋体"/>
          <w:color w:val="auto"/>
          <w:sz w:val="21"/>
          <w:szCs w:val="21"/>
          <w:highlight w:val="none"/>
        </w:rPr>
        <w:t>因发包方违约解除合同</w:t>
      </w:r>
    </w:p>
    <w:p w14:paraId="7B8C6168">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承包方按</w:t>
      </w:r>
      <w:r>
        <w:rPr>
          <w:rFonts w:ascii="宋体" w:hAnsi="宋体"/>
          <w:color w:val="auto"/>
          <w:sz w:val="21"/>
          <w:szCs w:val="21"/>
          <w:highlight w:val="none"/>
        </w:rPr>
        <w:t>16.1.1</w:t>
      </w:r>
      <w:r>
        <w:rPr>
          <w:rFonts w:hint="eastAsia" w:ascii="宋体" w:hAnsi="宋体"/>
          <w:color w:val="auto"/>
          <w:sz w:val="21"/>
          <w:szCs w:val="21"/>
          <w:highlight w:val="none"/>
        </w:rPr>
        <w:t>项〔发包方违约的情形〕约定暂停施工满</w:t>
      </w:r>
      <w:r>
        <w:rPr>
          <w:rFonts w:ascii="宋体" w:hAnsi="宋体"/>
          <w:color w:val="auto"/>
          <w:sz w:val="21"/>
          <w:szCs w:val="21"/>
          <w:highlight w:val="none"/>
          <w:u w:val="single"/>
        </w:rPr>
        <w:t>28</w:t>
      </w:r>
      <w:r>
        <w:rPr>
          <w:rFonts w:hint="eastAsia" w:ascii="宋体" w:hAnsi="宋体"/>
          <w:color w:val="auto"/>
          <w:sz w:val="21"/>
          <w:szCs w:val="21"/>
          <w:highlight w:val="none"/>
        </w:rPr>
        <w:t>天后发包方仍不纠正其违约行为并致使合同目的不能实现的，承包方有权解除合同。</w:t>
      </w:r>
    </w:p>
    <w:p w14:paraId="68210034">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16.2 </w:t>
      </w:r>
      <w:r>
        <w:rPr>
          <w:rFonts w:hint="eastAsia" w:ascii="宋体" w:hAnsi="宋体"/>
          <w:color w:val="auto"/>
          <w:sz w:val="21"/>
          <w:szCs w:val="21"/>
          <w:highlight w:val="none"/>
        </w:rPr>
        <w:t>承包方违约</w:t>
      </w:r>
    </w:p>
    <w:p w14:paraId="19A49F4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16.2.1 </w:t>
      </w:r>
      <w:r>
        <w:rPr>
          <w:rFonts w:hint="eastAsia" w:ascii="宋体" w:hAnsi="宋体"/>
          <w:color w:val="auto"/>
          <w:sz w:val="21"/>
          <w:szCs w:val="21"/>
          <w:highlight w:val="none"/>
        </w:rPr>
        <w:t>承包方违约的情形</w:t>
      </w:r>
    </w:p>
    <w:p w14:paraId="420599FA">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承包方违约的其他情形：</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6D492F28">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16.2.2</w:t>
      </w:r>
      <w:r>
        <w:rPr>
          <w:rFonts w:hint="eastAsia" w:ascii="宋体" w:hAnsi="宋体"/>
          <w:color w:val="auto"/>
          <w:sz w:val="21"/>
          <w:szCs w:val="21"/>
          <w:highlight w:val="none"/>
        </w:rPr>
        <w:t>承包方违约的责任</w:t>
      </w:r>
    </w:p>
    <w:p w14:paraId="62084BA8">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承包方违约责任的承担方式和计算方法：</w:t>
      </w:r>
      <w:r>
        <w:rPr>
          <w:rFonts w:hint="eastAsia" w:ascii="宋体" w:hAnsi="宋体"/>
          <w:color w:val="auto"/>
          <w:sz w:val="21"/>
          <w:szCs w:val="21"/>
          <w:highlight w:val="none"/>
          <w:u w:val="single"/>
        </w:rPr>
        <w:t>①承包方应承担其违约行为而增加的费用和（或）延误的工期,增加的费用和(或)延误的工期由监理方和造价控制方确认。②承包方转包工程或非法分包工程的，发包方有权解除合同，并由承包方承担签约合同价</w:t>
      </w:r>
      <w:r>
        <w:rPr>
          <w:rFonts w:hint="eastAsia" w:ascii="宋体" w:hAnsi="宋体"/>
          <w:color w:val="auto"/>
          <w:sz w:val="21"/>
          <w:szCs w:val="21"/>
          <w:highlight w:val="none"/>
          <w:u w:val="single"/>
          <w:lang w:val="en-US" w:eastAsia="zh-CN"/>
        </w:rPr>
        <w:t>1</w:t>
      </w:r>
      <w:r>
        <w:rPr>
          <w:rFonts w:hint="eastAsia" w:ascii="宋体" w:hAnsi="宋体"/>
          <w:color w:val="auto"/>
          <w:sz w:val="21"/>
          <w:szCs w:val="21"/>
          <w:highlight w:val="none"/>
          <w:u w:val="single"/>
        </w:rPr>
        <w:t>0%的违约金，同时对承包方已完合格工程量按80%的标准进行结算。③由于承包方违约导致发包方解除合同的，承包方需配合发包方在28天内对已完合格工程量进行确认并退场，承担签约合同价</w:t>
      </w:r>
      <w:r>
        <w:rPr>
          <w:rFonts w:hint="eastAsia" w:ascii="宋体" w:hAnsi="宋体"/>
          <w:color w:val="auto"/>
          <w:sz w:val="21"/>
          <w:szCs w:val="21"/>
          <w:highlight w:val="none"/>
          <w:u w:val="single"/>
          <w:lang w:val="en-US" w:eastAsia="zh-CN"/>
        </w:rPr>
        <w:t>10</w:t>
      </w:r>
      <w:r>
        <w:rPr>
          <w:rFonts w:hint="eastAsia" w:ascii="宋体" w:hAnsi="宋体"/>
          <w:color w:val="auto"/>
          <w:sz w:val="21"/>
          <w:szCs w:val="21"/>
          <w:highlight w:val="none"/>
          <w:u w:val="single"/>
        </w:rPr>
        <w:t>%的违约金，同时对承包方已完合格工程量按80%的标准进行结算。如承包方拒不配合确认工程量，发包方可以会同监理方、造价控制方对现场已完工程量进行测量、确认</w:t>
      </w:r>
      <w:r>
        <w:rPr>
          <w:rFonts w:hint="eastAsia" w:ascii="宋体" w:hAnsi="宋体"/>
          <w:color w:val="auto"/>
          <w:sz w:val="21"/>
          <w:szCs w:val="21"/>
          <w:highlight w:val="none"/>
        </w:rPr>
        <w:t>。</w:t>
      </w:r>
    </w:p>
    <w:p w14:paraId="195316E4">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16.2.3 </w:t>
      </w:r>
      <w:r>
        <w:rPr>
          <w:rFonts w:hint="eastAsia" w:ascii="宋体" w:hAnsi="宋体"/>
          <w:color w:val="auto"/>
          <w:sz w:val="21"/>
          <w:szCs w:val="21"/>
          <w:highlight w:val="none"/>
        </w:rPr>
        <w:t>因承包方违约解除合同</w:t>
      </w:r>
    </w:p>
    <w:p w14:paraId="30C4651F">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关于承包方违约解除合同的特别约定：</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33BA2C46">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发包方继续使用承包方在施工现场的材料、设备、临时工程、承包方文件和由承包方或以其名义编制的其他文件的费用承担方式：</w:t>
      </w:r>
      <w:r>
        <w:rPr>
          <w:rFonts w:hint="eastAsia" w:ascii="宋体" w:hAnsi="宋体"/>
          <w:color w:val="auto"/>
          <w:sz w:val="21"/>
          <w:szCs w:val="21"/>
          <w:highlight w:val="none"/>
          <w:u w:val="single"/>
        </w:rPr>
        <w:t>发包方无偿使用</w:t>
      </w:r>
      <w:r>
        <w:rPr>
          <w:rFonts w:hint="eastAsia" w:ascii="宋体" w:hAnsi="宋体"/>
          <w:color w:val="auto"/>
          <w:sz w:val="21"/>
          <w:szCs w:val="21"/>
          <w:highlight w:val="none"/>
        </w:rPr>
        <w:t>。</w:t>
      </w:r>
    </w:p>
    <w:p w14:paraId="40AAEA2D">
      <w:pPr>
        <w:pStyle w:val="5"/>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17. </w:t>
      </w:r>
      <w:r>
        <w:rPr>
          <w:rFonts w:hint="eastAsia" w:ascii="宋体" w:hAnsi="宋体"/>
          <w:bCs w:val="0"/>
          <w:color w:val="auto"/>
          <w:sz w:val="21"/>
          <w:szCs w:val="21"/>
          <w:highlight w:val="none"/>
        </w:rPr>
        <w:t>不可抗力</w:t>
      </w:r>
    </w:p>
    <w:p w14:paraId="5C855CE0">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17.1 </w:t>
      </w:r>
      <w:r>
        <w:rPr>
          <w:rFonts w:hint="eastAsia" w:ascii="宋体" w:hAnsi="宋体"/>
          <w:color w:val="auto"/>
          <w:sz w:val="21"/>
          <w:szCs w:val="21"/>
          <w:highlight w:val="none"/>
        </w:rPr>
        <w:t>不可抗力的确认</w:t>
      </w:r>
    </w:p>
    <w:p w14:paraId="2081CFE9">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除通用合同条款约定的不可抗力事件之外，视为不可抗力的其他情形：</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4FF6F1F2">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17.</w:t>
      </w:r>
      <w:r>
        <w:rPr>
          <w:rFonts w:hint="eastAsia" w:ascii="宋体" w:hAnsi="宋体"/>
          <w:color w:val="auto"/>
          <w:sz w:val="21"/>
          <w:szCs w:val="21"/>
          <w:highlight w:val="none"/>
        </w:rPr>
        <w:t>4因不可抗力解除合同</w:t>
      </w:r>
    </w:p>
    <w:p w14:paraId="5A590F1F">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合同解除后，发包方应在商定或确定发包方应支付款项后</w:t>
      </w:r>
      <w:r>
        <w:rPr>
          <w:rFonts w:ascii="宋体" w:hAnsi="宋体"/>
          <w:color w:val="auto"/>
          <w:sz w:val="21"/>
          <w:szCs w:val="21"/>
          <w:highlight w:val="none"/>
          <w:u w:val="single"/>
        </w:rPr>
        <w:t>28</w:t>
      </w:r>
      <w:r>
        <w:rPr>
          <w:rFonts w:hint="eastAsia" w:ascii="宋体" w:hAnsi="宋体"/>
          <w:color w:val="auto"/>
          <w:sz w:val="21"/>
          <w:szCs w:val="21"/>
          <w:highlight w:val="none"/>
        </w:rPr>
        <w:t>天内完成款项的支付。</w:t>
      </w:r>
    </w:p>
    <w:p w14:paraId="1DD33658">
      <w:pPr>
        <w:pStyle w:val="5"/>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18. </w:t>
      </w:r>
      <w:r>
        <w:rPr>
          <w:rFonts w:hint="eastAsia" w:ascii="宋体" w:hAnsi="宋体"/>
          <w:bCs w:val="0"/>
          <w:color w:val="auto"/>
          <w:sz w:val="21"/>
          <w:szCs w:val="21"/>
          <w:highlight w:val="none"/>
        </w:rPr>
        <w:t>保险</w:t>
      </w:r>
    </w:p>
    <w:p w14:paraId="3E097D31">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18.1 </w:t>
      </w:r>
      <w:r>
        <w:rPr>
          <w:rFonts w:hint="eastAsia" w:ascii="宋体" w:hAnsi="宋体"/>
          <w:color w:val="auto"/>
          <w:sz w:val="21"/>
          <w:szCs w:val="21"/>
          <w:highlight w:val="none"/>
        </w:rPr>
        <w:t>工程保险</w:t>
      </w:r>
    </w:p>
    <w:p w14:paraId="58E67B07">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关于工程保险的特别约定：</w:t>
      </w:r>
      <w:r>
        <w:rPr>
          <w:rFonts w:hint="eastAsia" w:ascii="宋体" w:hAnsi="宋体"/>
          <w:color w:val="auto"/>
          <w:sz w:val="21"/>
          <w:szCs w:val="21"/>
          <w:highlight w:val="none"/>
          <w:u w:val="single"/>
        </w:rPr>
        <w:t>由承包方支付</w:t>
      </w:r>
      <w:r>
        <w:rPr>
          <w:rFonts w:hint="eastAsia" w:ascii="宋体" w:hAnsi="宋体"/>
          <w:color w:val="auto"/>
          <w:sz w:val="21"/>
          <w:szCs w:val="21"/>
          <w:highlight w:val="none"/>
        </w:rPr>
        <w:t>。</w:t>
      </w:r>
    </w:p>
    <w:p w14:paraId="2A8AD877">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18.</w:t>
      </w:r>
      <w:r>
        <w:rPr>
          <w:rFonts w:hint="eastAsia" w:ascii="宋体" w:hAnsi="宋体"/>
          <w:color w:val="auto"/>
          <w:sz w:val="21"/>
          <w:szCs w:val="21"/>
          <w:highlight w:val="none"/>
        </w:rPr>
        <w:t>3其他保险</w:t>
      </w:r>
    </w:p>
    <w:p w14:paraId="5EF86FEE">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关于其他保险的约定：</w:t>
      </w:r>
      <w:r>
        <w:rPr>
          <w:rFonts w:hint="eastAsia" w:ascii="宋体" w:hAnsi="宋体"/>
          <w:color w:val="auto"/>
          <w:sz w:val="21"/>
          <w:szCs w:val="21"/>
          <w:highlight w:val="none"/>
          <w:u w:val="single"/>
        </w:rPr>
        <w:t>承包方自行考虑</w:t>
      </w:r>
      <w:r>
        <w:rPr>
          <w:rFonts w:hint="eastAsia" w:ascii="宋体" w:hAnsi="宋体"/>
          <w:color w:val="auto"/>
          <w:sz w:val="21"/>
          <w:szCs w:val="21"/>
          <w:highlight w:val="none"/>
        </w:rPr>
        <w:t>。</w:t>
      </w:r>
    </w:p>
    <w:p w14:paraId="54054AF3">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承包方是否应为其施工设备等办理财产保险：</w:t>
      </w:r>
      <w:r>
        <w:rPr>
          <w:rFonts w:hint="eastAsia" w:ascii="宋体" w:hAnsi="宋体"/>
          <w:color w:val="auto"/>
          <w:sz w:val="21"/>
          <w:szCs w:val="21"/>
          <w:highlight w:val="none"/>
          <w:u w:val="single"/>
        </w:rPr>
        <w:t>承包方自行考虑</w:t>
      </w:r>
      <w:r>
        <w:rPr>
          <w:rFonts w:hint="eastAsia" w:ascii="宋体" w:hAnsi="宋体"/>
          <w:color w:val="auto"/>
          <w:sz w:val="21"/>
          <w:szCs w:val="21"/>
          <w:highlight w:val="none"/>
        </w:rPr>
        <w:t>。</w:t>
      </w:r>
    </w:p>
    <w:p w14:paraId="59864079">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18.</w:t>
      </w:r>
      <w:r>
        <w:rPr>
          <w:rFonts w:hint="eastAsia" w:ascii="宋体" w:hAnsi="宋体"/>
          <w:color w:val="auto"/>
          <w:sz w:val="21"/>
          <w:szCs w:val="21"/>
          <w:highlight w:val="none"/>
        </w:rPr>
        <w:t>7通知义务</w:t>
      </w:r>
    </w:p>
    <w:p w14:paraId="2BDF5CF7">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关于变更保险合同时的通知义务的约定：</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70AB073D">
      <w:pPr>
        <w:pStyle w:val="5"/>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20. </w:t>
      </w:r>
      <w:r>
        <w:rPr>
          <w:rFonts w:hint="eastAsia" w:ascii="宋体" w:hAnsi="宋体"/>
          <w:bCs w:val="0"/>
          <w:color w:val="auto"/>
          <w:sz w:val="21"/>
          <w:szCs w:val="21"/>
          <w:highlight w:val="none"/>
        </w:rPr>
        <w:t>争议解决</w:t>
      </w:r>
    </w:p>
    <w:p w14:paraId="520903F5">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20.</w:t>
      </w:r>
      <w:r>
        <w:rPr>
          <w:rFonts w:hint="eastAsia" w:ascii="宋体" w:hAnsi="宋体"/>
          <w:color w:val="auto"/>
          <w:sz w:val="21"/>
          <w:szCs w:val="21"/>
          <w:highlight w:val="none"/>
        </w:rPr>
        <w:t>3争议评审</w:t>
      </w:r>
    </w:p>
    <w:p w14:paraId="08F022A7">
      <w:pPr>
        <w:pageBreakBefore w:val="0"/>
        <w:kinsoku/>
        <w:wordWrap/>
        <w:overflowPunct/>
        <w:topLinePunct w:val="0"/>
        <w:autoSpaceDE/>
        <w:autoSpaceDN/>
        <w:bidi w:val="0"/>
        <w:adjustRightInd/>
        <w:snapToGrid w:val="0"/>
        <w:spacing w:line="312" w:lineRule="auto"/>
        <w:ind w:left="170" w:firstLine="315"/>
        <w:jc w:val="left"/>
        <w:textAlignment w:val="auto"/>
        <w:rPr>
          <w:rFonts w:ascii="宋体" w:hAnsi="宋体"/>
          <w:color w:val="auto"/>
          <w:sz w:val="21"/>
          <w:szCs w:val="21"/>
          <w:highlight w:val="none"/>
        </w:rPr>
      </w:pPr>
      <w:r>
        <w:rPr>
          <w:rFonts w:hint="eastAsia" w:ascii="宋体" w:hAnsi="宋体"/>
          <w:color w:val="auto"/>
          <w:sz w:val="21"/>
          <w:szCs w:val="21"/>
          <w:highlight w:val="none"/>
        </w:rPr>
        <w:t>合同当事人是否同意将工程争议提交争议评审小组决定：</w:t>
      </w:r>
      <w:r>
        <w:rPr>
          <w:rFonts w:hint="eastAsia" w:ascii="宋体" w:hAnsi="宋体"/>
          <w:color w:val="auto"/>
          <w:sz w:val="21"/>
          <w:szCs w:val="21"/>
          <w:highlight w:val="none"/>
          <w:u w:val="single"/>
        </w:rPr>
        <w:t>同意</w:t>
      </w:r>
      <w:r>
        <w:rPr>
          <w:rFonts w:hint="eastAsia" w:ascii="宋体" w:hAnsi="宋体"/>
          <w:color w:val="auto"/>
          <w:sz w:val="21"/>
          <w:szCs w:val="21"/>
          <w:highlight w:val="none"/>
        </w:rPr>
        <w:t>。</w:t>
      </w:r>
    </w:p>
    <w:p w14:paraId="6F2C98AD">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20.</w:t>
      </w:r>
      <w:r>
        <w:rPr>
          <w:rFonts w:hint="eastAsia" w:ascii="宋体" w:hAnsi="宋体"/>
          <w:color w:val="auto"/>
          <w:sz w:val="21"/>
          <w:szCs w:val="21"/>
          <w:highlight w:val="none"/>
        </w:rPr>
        <w:t>3</w:t>
      </w:r>
      <w:r>
        <w:rPr>
          <w:rFonts w:ascii="宋体" w:hAnsi="宋体"/>
          <w:color w:val="auto"/>
          <w:sz w:val="21"/>
          <w:szCs w:val="21"/>
          <w:highlight w:val="none"/>
        </w:rPr>
        <w:t xml:space="preserve">.1 </w:t>
      </w:r>
      <w:r>
        <w:rPr>
          <w:rFonts w:hint="eastAsia" w:ascii="宋体" w:hAnsi="宋体"/>
          <w:color w:val="auto"/>
          <w:sz w:val="21"/>
          <w:szCs w:val="21"/>
          <w:highlight w:val="none"/>
        </w:rPr>
        <w:t>争议评审小组的确定</w:t>
      </w:r>
    </w:p>
    <w:p w14:paraId="258C6E26">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争议评审小组成员的确定：</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0C9F5543">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选定争议评审员的期限：</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1D67EC86">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争议评审小组成员的报酬承担方式：</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1F7AD48A">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其他事项的约定：</w:t>
      </w:r>
      <w:r>
        <w:rPr>
          <w:rFonts w:hint="eastAsia" w:ascii="宋体" w:hAnsi="宋体"/>
          <w:color w:val="auto"/>
          <w:sz w:val="21"/>
          <w:szCs w:val="21"/>
          <w:highlight w:val="none"/>
          <w:u w:val="single"/>
        </w:rPr>
        <w:t>无</w:t>
      </w:r>
      <w:r>
        <w:rPr>
          <w:rFonts w:hint="eastAsia" w:ascii="宋体" w:hAnsi="宋体"/>
          <w:color w:val="auto"/>
          <w:sz w:val="21"/>
          <w:szCs w:val="21"/>
          <w:highlight w:val="none"/>
        </w:rPr>
        <w:t>。</w:t>
      </w:r>
    </w:p>
    <w:p w14:paraId="5B5B0129">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20.</w:t>
      </w:r>
      <w:r>
        <w:rPr>
          <w:rFonts w:hint="eastAsia" w:ascii="宋体" w:hAnsi="宋体"/>
          <w:color w:val="auto"/>
          <w:sz w:val="21"/>
          <w:szCs w:val="21"/>
          <w:highlight w:val="none"/>
        </w:rPr>
        <w:t>3</w:t>
      </w:r>
      <w:r>
        <w:rPr>
          <w:rFonts w:ascii="宋体" w:hAnsi="宋体"/>
          <w:color w:val="auto"/>
          <w:sz w:val="21"/>
          <w:szCs w:val="21"/>
          <w:highlight w:val="none"/>
        </w:rPr>
        <w:t xml:space="preserve">.2 </w:t>
      </w:r>
      <w:r>
        <w:rPr>
          <w:rFonts w:hint="eastAsia" w:ascii="宋体" w:hAnsi="宋体"/>
          <w:color w:val="auto"/>
          <w:sz w:val="21"/>
          <w:szCs w:val="21"/>
          <w:highlight w:val="none"/>
        </w:rPr>
        <w:t>争议评审小组的决定</w:t>
      </w:r>
    </w:p>
    <w:p w14:paraId="48E07795">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合同当事人关于本项的约定：</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4E5CF8E7">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20.</w:t>
      </w:r>
      <w:r>
        <w:rPr>
          <w:rFonts w:hint="eastAsia" w:ascii="宋体" w:hAnsi="宋体"/>
          <w:color w:val="auto"/>
          <w:sz w:val="21"/>
          <w:szCs w:val="21"/>
          <w:highlight w:val="none"/>
        </w:rPr>
        <w:t>4仲裁或诉讼</w:t>
      </w:r>
    </w:p>
    <w:p w14:paraId="1656C657">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因合同及合同有关事项发生的争议，按下列第</w:t>
      </w:r>
      <w:r>
        <w:rPr>
          <w:rFonts w:ascii="宋体" w:hAnsi="宋体"/>
          <w:color w:val="auto"/>
          <w:sz w:val="21"/>
          <w:szCs w:val="21"/>
          <w:highlight w:val="none"/>
          <w:u w:val="single"/>
        </w:rPr>
        <w:t>2</w:t>
      </w:r>
      <w:r>
        <w:rPr>
          <w:rFonts w:hint="eastAsia" w:ascii="宋体" w:hAnsi="宋体"/>
          <w:color w:val="auto"/>
          <w:sz w:val="21"/>
          <w:szCs w:val="21"/>
          <w:highlight w:val="none"/>
        </w:rPr>
        <w:t>种方式解决：</w:t>
      </w:r>
    </w:p>
    <w:p w14:paraId="47CAFA8D">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1</w:t>
      </w:r>
      <w:r>
        <w:rPr>
          <w:rFonts w:hint="eastAsia" w:ascii="宋体" w:hAnsi="宋体"/>
          <w:color w:val="auto"/>
          <w:sz w:val="21"/>
          <w:szCs w:val="21"/>
          <w:highlight w:val="none"/>
        </w:rPr>
        <w:t>）向</w:t>
      </w:r>
      <w:r>
        <w:rPr>
          <w:rFonts w:ascii="宋体" w:hAnsi="宋体"/>
          <w:color w:val="auto"/>
          <w:sz w:val="21"/>
          <w:szCs w:val="21"/>
          <w:highlight w:val="none"/>
          <w:u w:val="single"/>
        </w:rPr>
        <w:t xml:space="preserve">  /  </w:t>
      </w:r>
      <w:r>
        <w:rPr>
          <w:rFonts w:hint="eastAsia" w:ascii="宋体" w:hAnsi="宋体"/>
          <w:color w:val="auto"/>
          <w:sz w:val="21"/>
          <w:szCs w:val="21"/>
          <w:highlight w:val="none"/>
        </w:rPr>
        <w:t>仲裁委员会申请仲裁；</w:t>
      </w:r>
    </w:p>
    <w:p w14:paraId="6ACD4FA1">
      <w:pPr>
        <w:pageBreakBefore w:val="0"/>
        <w:kinsoku/>
        <w:wordWrap/>
        <w:overflowPunct/>
        <w:topLinePunct w:val="0"/>
        <w:autoSpaceDE/>
        <w:autoSpaceDN/>
        <w:bidi w:val="0"/>
        <w:adjustRightInd/>
        <w:snapToGrid w:val="0"/>
        <w:spacing w:line="312" w:lineRule="auto"/>
        <w:ind w:firstLine="420"/>
        <w:textAlignment w:val="auto"/>
        <w:rPr>
          <w:rFonts w:hint="eastAsia"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2</w:t>
      </w:r>
      <w:r>
        <w:rPr>
          <w:rFonts w:hint="eastAsia" w:ascii="宋体" w:hAnsi="宋体"/>
          <w:color w:val="auto"/>
          <w:sz w:val="21"/>
          <w:szCs w:val="21"/>
          <w:highlight w:val="none"/>
        </w:rPr>
        <w:t>）向</w:t>
      </w:r>
      <w:r>
        <w:rPr>
          <w:rFonts w:hint="eastAsia" w:ascii="宋体" w:hAnsi="宋体"/>
          <w:color w:val="auto"/>
          <w:sz w:val="21"/>
          <w:szCs w:val="21"/>
          <w:highlight w:val="none"/>
          <w:u w:val="single"/>
        </w:rPr>
        <w:t>泰兴市</w:t>
      </w:r>
      <w:r>
        <w:rPr>
          <w:rFonts w:hint="eastAsia" w:ascii="宋体" w:hAnsi="宋体"/>
          <w:color w:val="auto"/>
          <w:sz w:val="21"/>
          <w:szCs w:val="21"/>
          <w:highlight w:val="none"/>
        </w:rPr>
        <w:t>人民法院起诉。</w:t>
      </w:r>
    </w:p>
    <w:p w14:paraId="369B2A9E">
      <w:pPr>
        <w:pStyle w:val="274"/>
        <w:pageBreakBefore w:val="0"/>
        <w:kinsoku/>
        <w:wordWrap/>
        <w:overflowPunct/>
        <w:topLinePunct w:val="0"/>
        <w:autoSpaceDE/>
        <w:autoSpaceDN/>
        <w:bidi w:val="0"/>
        <w:adjustRightInd/>
        <w:snapToGrid w:val="0"/>
        <w:spacing w:line="312" w:lineRule="auto"/>
        <w:ind w:firstLine="420" w:firstLineChars="200"/>
        <w:contextualSpacing/>
        <w:jc w:val="both"/>
        <w:textAlignment w:val="auto"/>
        <w:rPr>
          <w:rFonts w:ascii="宋体" w:hAnsi="宋体"/>
          <w:bCs w:val="0"/>
          <w:color w:val="auto"/>
          <w:sz w:val="21"/>
          <w:szCs w:val="21"/>
          <w:highlight w:val="none"/>
        </w:rPr>
      </w:pPr>
      <w:bookmarkStart w:id="526" w:name="_Hlk124929560"/>
      <w:r>
        <w:rPr>
          <w:rFonts w:ascii="宋体" w:hAnsi="宋体"/>
          <w:bCs w:val="0"/>
          <w:color w:val="auto"/>
          <w:sz w:val="21"/>
          <w:szCs w:val="21"/>
          <w:highlight w:val="none"/>
        </w:rPr>
        <w:t>2</w:t>
      </w:r>
      <w:r>
        <w:rPr>
          <w:rFonts w:hint="eastAsia" w:ascii="宋体" w:hAnsi="宋体"/>
          <w:bCs w:val="0"/>
          <w:color w:val="auto"/>
          <w:sz w:val="21"/>
          <w:szCs w:val="21"/>
          <w:highlight w:val="none"/>
        </w:rPr>
        <w:t>1</w:t>
      </w:r>
      <w:r>
        <w:rPr>
          <w:rFonts w:ascii="宋体" w:hAnsi="宋体"/>
          <w:bCs w:val="0"/>
          <w:color w:val="auto"/>
          <w:sz w:val="21"/>
          <w:szCs w:val="21"/>
          <w:highlight w:val="none"/>
        </w:rPr>
        <w:t>.</w:t>
      </w:r>
      <w:bookmarkEnd w:id="526"/>
      <w:r>
        <w:rPr>
          <w:rFonts w:ascii="宋体" w:hAnsi="宋体"/>
          <w:bCs w:val="0"/>
          <w:color w:val="auto"/>
          <w:sz w:val="21"/>
          <w:szCs w:val="21"/>
          <w:highlight w:val="none"/>
        </w:rPr>
        <w:t xml:space="preserve"> 合同补充条款：</w:t>
      </w:r>
    </w:p>
    <w:p w14:paraId="729A36C8">
      <w:pPr>
        <w:pStyle w:val="274"/>
        <w:pageBreakBefore w:val="0"/>
        <w:kinsoku/>
        <w:wordWrap/>
        <w:overflowPunct/>
        <w:topLinePunct w:val="0"/>
        <w:autoSpaceDE/>
        <w:autoSpaceDN/>
        <w:bidi w:val="0"/>
        <w:adjustRightInd/>
        <w:snapToGrid w:val="0"/>
        <w:spacing w:line="312" w:lineRule="auto"/>
        <w:ind w:firstLine="420" w:firstLineChars="200"/>
        <w:contextualSpacing/>
        <w:jc w:val="both"/>
        <w:textAlignment w:val="auto"/>
        <w:rPr>
          <w:rFonts w:ascii="宋体" w:hAnsi="宋体" w:eastAsia="宋体"/>
          <w:color w:val="auto"/>
          <w:kern w:val="2"/>
          <w:sz w:val="21"/>
          <w:szCs w:val="21"/>
          <w:highlight w:val="none"/>
        </w:rPr>
      </w:pPr>
      <w:r>
        <w:rPr>
          <w:rFonts w:hint="eastAsia" w:ascii="宋体" w:hAnsi="宋体" w:eastAsia="宋体"/>
          <w:color w:val="auto"/>
          <w:kern w:val="2"/>
          <w:sz w:val="21"/>
          <w:szCs w:val="21"/>
          <w:highlight w:val="none"/>
        </w:rPr>
        <w:t>1.实际开工日期以开工报告为准，非发包方原因造成的工期延误，工程造价在遇到国家、省、市等政策性调减时，按实调减；在遇到政策性调增时，一律不执行调增。</w:t>
      </w:r>
    </w:p>
    <w:p w14:paraId="6E1266EB">
      <w:pPr>
        <w:pStyle w:val="274"/>
        <w:pageBreakBefore w:val="0"/>
        <w:kinsoku/>
        <w:wordWrap/>
        <w:overflowPunct/>
        <w:topLinePunct w:val="0"/>
        <w:autoSpaceDE/>
        <w:autoSpaceDN/>
        <w:bidi w:val="0"/>
        <w:adjustRightInd/>
        <w:snapToGrid w:val="0"/>
        <w:spacing w:line="312" w:lineRule="auto"/>
        <w:ind w:firstLine="420" w:firstLineChars="200"/>
        <w:contextualSpacing/>
        <w:jc w:val="both"/>
        <w:textAlignment w:val="auto"/>
        <w:rPr>
          <w:rFonts w:hint="default" w:ascii="宋体" w:hAnsi="宋体" w:eastAsia="宋体"/>
          <w:color w:val="auto"/>
          <w:kern w:val="2"/>
          <w:sz w:val="21"/>
          <w:szCs w:val="21"/>
          <w:highlight w:val="none"/>
          <w:lang w:val="en-US" w:eastAsia="zh-CN"/>
        </w:rPr>
      </w:pPr>
      <w:r>
        <w:rPr>
          <w:rFonts w:hint="eastAsia" w:ascii="宋体" w:hAnsi="宋体" w:eastAsia="宋体"/>
          <w:color w:val="auto"/>
          <w:kern w:val="2"/>
          <w:sz w:val="21"/>
          <w:szCs w:val="21"/>
          <w:highlight w:val="none"/>
        </w:rPr>
        <w:t>2.承包人项目部主要管理人员实行每日考勤签到制度，由监理人或发包人复核并确认，考勤签到资料随竣工决算资料一并报审计单位审核。</w:t>
      </w:r>
      <w:r>
        <w:rPr>
          <w:rFonts w:hint="eastAsia" w:ascii="宋体" w:hAnsi="宋体" w:eastAsia="宋体"/>
          <w:color w:val="auto"/>
          <w:kern w:val="2"/>
          <w:sz w:val="21"/>
          <w:szCs w:val="21"/>
          <w:highlight w:val="none"/>
          <w:lang w:val="en-US" w:eastAsia="zh-CN"/>
        </w:rPr>
        <w:t>若承包人项目负责人无故缺勤应按照本合同专用条款3.2的规定承担违约责任；若承包人未能提供完整的考勤资料，发包人有权暂停支付当期工程款直至承包人补正相关资料。</w:t>
      </w:r>
    </w:p>
    <w:p w14:paraId="7F6641F2">
      <w:pPr>
        <w:pStyle w:val="274"/>
        <w:pageBreakBefore w:val="0"/>
        <w:kinsoku/>
        <w:wordWrap/>
        <w:overflowPunct/>
        <w:topLinePunct w:val="0"/>
        <w:autoSpaceDE/>
        <w:autoSpaceDN/>
        <w:bidi w:val="0"/>
        <w:adjustRightInd/>
        <w:snapToGrid w:val="0"/>
        <w:spacing w:line="312" w:lineRule="auto"/>
        <w:ind w:firstLine="420" w:firstLineChars="200"/>
        <w:contextualSpacing/>
        <w:jc w:val="both"/>
        <w:textAlignment w:val="auto"/>
        <w:rPr>
          <w:rFonts w:hint="eastAsia" w:ascii="宋体" w:hAnsi="宋体" w:eastAsia="宋体"/>
          <w:color w:val="auto"/>
          <w:kern w:val="2"/>
          <w:sz w:val="21"/>
          <w:szCs w:val="21"/>
          <w:highlight w:val="none"/>
        </w:rPr>
      </w:pPr>
      <w:r>
        <w:rPr>
          <w:rFonts w:hint="eastAsia" w:ascii="宋体" w:hAnsi="宋体" w:eastAsia="宋体"/>
          <w:color w:val="auto"/>
          <w:kern w:val="2"/>
          <w:sz w:val="21"/>
          <w:szCs w:val="21"/>
          <w:highlight w:val="none"/>
        </w:rPr>
        <w:t>3.承包人负责处理施工中非发包人因素可能发生的地方矛盾，并且不产生费用索赔。</w:t>
      </w:r>
    </w:p>
    <w:p w14:paraId="751EE249">
      <w:pPr>
        <w:pStyle w:val="274"/>
        <w:pageBreakBefore w:val="0"/>
        <w:kinsoku/>
        <w:wordWrap/>
        <w:overflowPunct/>
        <w:topLinePunct w:val="0"/>
        <w:autoSpaceDE/>
        <w:autoSpaceDN/>
        <w:bidi w:val="0"/>
        <w:adjustRightInd/>
        <w:snapToGrid w:val="0"/>
        <w:spacing w:line="312" w:lineRule="auto"/>
        <w:ind w:firstLine="420" w:firstLineChars="200"/>
        <w:contextualSpacing/>
        <w:jc w:val="both"/>
        <w:textAlignment w:val="auto"/>
        <w:rPr>
          <w:rFonts w:hint="eastAsia" w:ascii="宋体" w:hAnsi="宋体" w:eastAsia="宋体"/>
          <w:color w:val="auto"/>
          <w:kern w:val="2"/>
          <w:sz w:val="21"/>
          <w:szCs w:val="21"/>
          <w:highlight w:val="none"/>
        </w:rPr>
      </w:pPr>
      <w:r>
        <w:rPr>
          <w:rFonts w:hint="eastAsia" w:ascii="宋体" w:hAnsi="宋体" w:eastAsia="宋体"/>
          <w:color w:val="auto"/>
          <w:kern w:val="2"/>
          <w:sz w:val="21"/>
          <w:szCs w:val="21"/>
          <w:highlight w:val="none"/>
        </w:rPr>
        <w:t>4.承包人应按规定做好施工现场的安全防护措施，如有疏忽，因此造成的一切安全事故责任均由承包人自行承担。</w:t>
      </w:r>
    </w:p>
    <w:p w14:paraId="56CCA351">
      <w:pPr>
        <w:pStyle w:val="274"/>
        <w:pageBreakBefore w:val="0"/>
        <w:kinsoku/>
        <w:wordWrap/>
        <w:overflowPunct/>
        <w:topLinePunct w:val="0"/>
        <w:autoSpaceDE/>
        <w:autoSpaceDN/>
        <w:bidi w:val="0"/>
        <w:adjustRightInd/>
        <w:snapToGrid w:val="0"/>
        <w:spacing w:line="312" w:lineRule="auto"/>
        <w:ind w:firstLine="420" w:firstLineChars="200"/>
        <w:contextualSpacing/>
        <w:jc w:val="both"/>
        <w:textAlignment w:val="auto"/>
        <w:rPr>
          <w:rFonts w:hint="eastAsia" w:ascii="宋体" w:hAnsi="宋体" w:eastAsia="宋体"/>
          <w:color w:val="auto"/>
          <w:kern w:val="2"/>
          <w:sz w:val="21"/>
          <w:szCs w:val="21"/>
          <w:highlight w:val="none"/>
        </w:rPr>
      </w:pPr>
      <w:r>
        <w:rPr>
          <w:rFonts w:hint="eastAsia" w:ascii="宋体" w:hAnsi="宋体" w:eastAsia="宋体"/>
          <w:color w:val="auto"/>
          <w:kern w:val="2"/>
          <w:sz w:val="21"/>
          <w:szCs w:val="21"/>
          <w:highlight w:val="none"/>
        </w:rPr>
        <w:t>5.施工范围内的强电、弱电、自来水、管线、线杆、房屋、桥梁、道路、绿化等设施的保护费用包含在合同价中。</w:t>
      </w:r>
    </w:p>
    <w:p w14:paraId="19B32C1D">
      <w:pPr>
        <w:pStyle w:val="274"/>
        <w:pageBreakBefore w:val="0"/>
        <w:kinsoku/>
        <w:wordWrap/>
        <w:overflowPunct/>
        <w:topLinePunct w:val="0"/>
        <w:autoSpaceDE/>
        <w:autoSpaceDN/>
        <w:bidi w:val="0"/>
        <w:adjustRightInd/>
        <w:snapToGrid w:val="0"/>
        <w:spacing w:line="312" w:lineRule="auto"/>
        <w:ind w:firstLine="420" w:firstLineChars="200"/>
        <w:contextualSpacing/>
        <w:jc w:val="both"/>
        <w:textAlignment w:val="auto"/>
        <w:rPr>
          <w:rFonts w:ascii="宋体" w:hAnsi="宋体" w:eastAsia="宋体"/>
          <w:color w:val="auto"/>
          <w:kern w:val="2"/>
          <w:sz w:val="21"/>
          <w:szCs w:val="21"/>
          <w:highlight w:val="none"/>
        </w:rPr>
      </w:pPr>
      <w:r>
        <w:rPr>
          <w:rFonts w:hint="eastAsia" w:ascii="宋体" w:hAnsi="宋体" w:eastAsia="宋体"/>
          <w:color w:val="auto"/>
          <w:kern w:val="2"/>
          <w:sz w:val="21"/>
          <w:szCs w:val="21"/>
          <w:highlight w:val="none"/>
        </w:rPr>
        <w:t>6.施工过程中应做好环境保护、防止扬尘等措施，如对环境造成影响和经济损失，均由承包人自行承担。</w:t>
      </w:r>
    </w:p>
    <w:p w14:paraId="59963C6C">
      <w:pPr>
        <w:pStyle w:val="274"/>
        <w:pageBreakBefore w:val="0"/>
        <w:kinsoku/>
        <w:wordWrap/>
        <w:overflowPunct/>
        <w:topLinePunct w:val="0"/>
        <w:autoSpaceDE/>
        <w:autoSpaceDN/>
        <w:bidi w:val="0"/>
        <w:adjustRightInd/>
        <w:snapToGrid w:val="0"/>
        <w:spacing w:line="312" w:lineRule="auto"/>
        <w:ind w:firstLine="420" w:firstLineChars="200"/>
        <w:contextualSpacing/>
        <w:jc w:val="both"/>
        <w:textAlignment w:val="auto"/>
        <w:rPr>
          <w:rFonts w:ascii="宋体" w:hAnsi="宋体" w:eastAsia="宋体"/>
          <w:color w:val="auto"/>
          <w:kern w:val="2"/>
          <w:sz w:val="21"/>
          <w:szCs w:val="21"/>
          <w:highlight w:val="none"/>
        </w:rPr>
      </w:pPr>
      <w:r>
        <w:rPr>
          <w:rFonts w:hint="eastAsia" w:ascii="宋体" w:hAnsi="宋体" w:eastAsia="宋体"/>
          <w:color w:val="auto"/>
          <w:kern w:val="2"/>
          <w:sz w:val="21"/>
          <w:szCs w:val="21"/>
          <w:highlight w:val="none"/>
        </w:rPr>
        <w:t>7.承包人的项目负责人与投标时不一致，又未经发包人同意更换，则发包人可自行终止施工合同并没收履约保证金，承包人按专用条款第16.2.2条约定承担违约责任。</w:t>
      </w:r>
    </w:p>
    <w:p w14:paraId="119E70E6">
      <w:pPr>
        <w:pStyle w:val="274"/>
        <w:pageBreakBefore w:val="0"/>
        <w:kinsoku/>
        <w:wordWrap/>
        <w:overflowPunct/>
        <w:topLinePunct w:val="0"/>
        <w:autoSpaceDE/>
        <w:autoSpaceDN/>
        <w:bidi w:val="0"/>
        <w:adjustRightInd/>
        <w:snapToGrid w:val="0"/>
        <w:spacing w:line="312" w:lineRule="auto"/>
        <w:ind w:firstLine="420" w:firstLineChars="200"/>
        <w:contextualSpacing/>
        <w:jc w:val="both"/>
        <w:textAlignment w:val="auto"/>
        <w:rPr>
          <w:rFonts w:ascii="宋体" w:hAnsi="宋体" w:eastAsia="宋体"/>
          <w:color w:val="auto"/>
          <w:kern w:val="2"/>
          <w:sz w:val="21"/>
          <w:szCs w:val="21"/>
          <w:highlight w:val="none"/>
        </w:rPr>
      </w:pPr>
      <w:r>
        <w:rPr>
          <w:rFonts w:hint="eastAsia" w:ascii="宋体" w:hAnsi="宋体" w:eastAsia="宋体"/>
          <w:color w:val="auto"/>
          <w:kern w:val="2"/>
          <w:sz w:val="21"/>
          <w:szCs w:val="21"/>
          <w:highlight w:val="none"/>
        </w:rPr>
        <w:t>8.工程竣工验收合格一个月内报送决算资料，决算资料内必须包含工程前后影像资料。如因承包人自身原因造成延迟竣工验收和决算资料延期报送，一切后果由承包人自行负责。</w:t>
      </w:r>
    </w:p>
    <w:p w14:paraId="645300BD">
      <w:pPr>
        <w:pStyle w:val="274"/>
        <w:pageBreakBefore w:val="0"/>
        <w:kinsoku/>
        <w:wordWrap/>
        <w:overflowPunct/>
        <w:topLinePunct w:val="0"/>
        <w:autoSpaceDE/>
        <w:autoSpaceDN/>
        <w:bidi w:val="0"/>
        <w:adjustRightInd/>
        <w:snapToGrid w:val="0"/>
        <w:spacing w:line="312" w:lineRule="auto"/>
        <w:ind w:firstLine="422" w:firstLineChars="200"/>
        <w:contextualSpacing/>
        <w:jc w:val="both"/>
        <w:textAlignment w:val="auto"/>
        <w:rPr>
          <w:rFonts w:hint="eastAsia" w:ascii="宋体" w:hAnsi="宋体" w:eastAsia="宋体"/>
          <w:b/>
          <w:bCs/>
          <w:color w:val="auto"/>
          <w:kern w:val="2"/>
          <w:sz w:val="21"/>
          <w:szCs w:val="21"/>
          <w:highlight w:val="none"/>
        </w:rPr>
      </w:pPr>
      <w:r>
        <w:rPr>
          <w:rFonts w:hint="eastAsia" w:ascii="宋体" w:hAnsi="宋体" w:eastAsia="宋体"/>
          <w:b/>
          <w:bCs/>
          <w:color w:val="auto"/>
          <w:kern w:val="2"/>
          <w:sz w:val="21"/>
          <w:szCs w:val="21"/>
          <w:highlight w:val="none"/>
        </w:rPr>
        <w:t>9.工程竣工结算审核核减率在 5%以内(含5%)的由招标人承担所有审计、审核费用，核减率在 5%至10%(含10%)之间的由招标人和施工单位各自承担所有审计、审核费用的50%，核减率在10%以上的，所有审计、审核费用全部由施工单位承担;核减率在15%以上(含 15%)的，除所有审计、审核费用全部由施工单位承担外，招标人有权再行按核减额的5%核减施工单位工程结算额;以上核减费用由发包人直接在结算款中扣减承包人的工程款。该项目结算审核后一年内，发包人进行结算复审时若进行工程费用核减的，核减的工程费用由承包人在已收取的工程款中无条件退还。</w:t>
      </w:r>
    </w:p>
    <w:p w14:paraId="5BEE867B">
      <w:pPr>
        <w:pStyle w:val="274"/>
        <w:pageBreakBefore w:val="0"/>
        <w:kinsoku/>
        <w:wordWrap/>
        <w:overflowPunct/>
        <w:topLinePunct w:val="0"/>
        <w:autoSpaceDE/>
        <w:autoSpaceDN/>
        <w:bidi w:val="0"/>
        <w:adjustRightInd/>
        <w:snapToGrid w:val="0"/>
        <w:spacing w:line="312" w:lineRule="auto"/>
        <w:ind w:firstLine="420" w:firstLineChars="200"/>
        <w:contextualSpacing/>
        <w:jc w:val="both"/>
        <w:textAlignment w:val="auto"/>
        <w:rPr>
          <w:rFonts w:ascii="宋体" w:hAnsi="宋体" w:eastAsia="宋体"/>
          <w:color w:val="auto"/>
          <w:kern w:val="2"/>
          <w:sz w:val="21"/>
          <w:szCs w:val="21"/>
          <w:highlight w:val="none"/>
        </w:rPr>
      </w:pPr>
      <w:r>
        <w:rPr>
          <w:rFonts w:hint="eastAsia" w:ascii="宋体" w:hAnsi="宋体" w:eastAsia="宋体"/>
          <w:color w:val="auto"/>
          <w:kern w:val="2"/>
          <w:sz w:val="21"/>
          <w:szCs w:val="21"/>
          <w:highlight w:val="none"/>
        </w:rPr>
        <w:t>10.在工程实施过程中，承包人必须完全服从发包人根据现场实际情况，提出的增加或减少工程量，其价格参照综合单价的调整方式。</w:t>
      </w:r>
    </w:p>
    <w:p w14:paraId="231E58F3">
      <w:pPr>
        <w:pStyle w:val="274"/>
        <w:pageBreakBefore w:val="0"/>
        <w:kinsoku/>
        <w:wordWrap/>
        <w:overflowPunct/>
        <w:topLinePunct w:val="0"/>
        <w:autoSpaceDE/>
        <w:autoSpaceDN/>
        <w:bidi w:val="0"/>
        <w:adjustRightInd/>
        <w:snapToGrid w:val="0"/>
        <w:spacing w:line="312" w:lineRule="auto"/>
        <w:ind w:firstLine="420" w:firstLineChars="200"/>
        <w:contextualSpacing/>
        <w:jc w:val="both"/>
        <w:textAlignment w:val="auto"/>
        <w:rPr>
          <w:rFonts w:ascii="宋体" w:hAnsi="宋体" w:eastAsia="宋体"/>
          <w:color w:val="auto"/>
          <w:kern w:val="2"/>
          <w:sz w:val="21"/>
          <w:szCs w:val="21"/>
          <w:highlight w:val="none"/>
        </w:rPr>
      </w:pPr>
      <w:r>
        <w:rPr>
          <w:rFonts w:hint="eastAsia" w:ascii="宋体" w:hAnsi="宋体" w:eastAsia="宋体"/>
          <w:color w:val="auto"/>
          <w:kern w:val="2"/>
          <w:sz w:val="21"/>
          <w:szCs w:val="21"/>
          <w:highlight w:val="none"/>
        </w:rPr>
        <w:t>11.在竣工验收时，凡是发现标高与设计图纸不符的，一律返工整改，工期不顺延，增加的费用由承包人承担，对该分项工程总价再扣减30%结算。</w:t>
      </w:r>
    </w:p>
    <w:p w14:paraId="28E0AE7C">
      <w:pPr>
        <w:pStyle w:val="274"/>
        <w:pageBreakBefore w:val="0"/>
        <w:kinsoku/>
        <w:wordWrap/>
        <w:overflowPunct/>
        <w:topLinePunct w:val="0"/>
        <w:autoSpaceDE/>
        <w:autoSpaceDN/>
        <w:bidi w:val="0"/>
        <w:adjustRightInd/>
        <w:snapToGrid w:val="0"/>
        <w:spacing w:line="312" w:lineRule="auto"/>
        <w:ind w:firstLine="420" w:firstLineChars="200"/>
        <w:contextualSpacing/>
        <w:jc w:val="both"/>
        <w:textAlignment w:val="auto"/>
        <w:rPr>
          <w:rFonts w:ascii="宋体" w:hAnsi="宋体" w:eastAsia="宋体"/>
          <w:color w:val="auto"/>
          <w:kern w:val="2"/>
          <w:sz w:val="21"/>
          <w:szCs w:val="21"/>
          <w:highlight w:val="none"/>
        </w:rPr>
      </w:pPr>
      <w:r>
        <w:rPr>
          <w:rFonts w:hint="eastAsia" w:ascii="宋体" w:hAnsi="宋体" w:eastAsia="宋体"/>
          <w:color w:val="auto"/>
          <w:kern w:val="2"/>
          <w:sz w:val="21"/>
          <w:szCs w:val="21"/>
          <w:highlight w:val="none"/>
        </w:rPr>
        <w:t>12.工程中发生的变更以及工程量的增减所产生的造价均按中标下浮率同比下浮。</w:t>
      </w:r>
    </w:p>
    <w:p w14:paraId="7C425C16">
      <w:pPr>
        <w:pStyle w:val="274"/>
        <w:pageBreakBefore w:val="0"/>
        <w:kinsoku/>
        <w:wordWrap/>
        <w:overflowPunct/>
        <w:topLinePunct w:val="0"/>
        <w:autoSpaceDE/>
        <w:autoSpaceDN/>
        <w:bidi w:val="0"/>
        <w:adjustRightInd/>
        <w:snapToGrid w:val="0"/>
        <w:spacing w:line="312" w:lineRule="auto"/>
        <w:ind w:firstLine="420" w:firstLineChars="200"/>
        <w:contextualSpacing/>
        <w:jc w:val="both"/>
        <w:textAlignment w:val="auto"/>
        <w:rPr>
          <w:rFonts w:ascii="宋体" w:hAnsi="宋体" w:eastAsia="宋体"/>
          <w:color w:val="auto"/>
          <w:kern w:val="2"/>
          <w:sz w:val="21"/>
          <w:szCs w:val="21"/>
          <w:highlight w:val="none"/>
        </w:rPr>
      </w:pPr>
      <w:r>
        <w:rPr>
          <w:rFonts w:hint="eastAsia" w:ascii="宋体" w:hAnsi="宋体" w:eastAsia="宋体"/>
          <w:color w:val="auto"/>
          <w:kern w:val="2"/>
          <w:sz w:val="21"/>
          <w:szCs w:val="21"/>
          <w:highlight w:val="none"/>
        </w:rPr>
        <w:t>13.</w:t>
      </w:r>
      <w:r>
        <w:rPr>
          <w:rFonts w:hint="eastAsia" w:ascii="宋体" w:hAnsi="宋体" w:eastAsia="宋体"/>
          <w:b/>
          <w:bCs/>
          <w:color w:val="auto"/>
          <w:kern w:val="2"/>
          <w:sz w:val="21"/>
          <w:szCs w:val="21"/>
          <w:highlight w:val="none"/>
        </w:rPr>
        <w:t>承包人严格把好材料关、工序关等，确保工程质量、安全等，采购人将对回填土的压实度和平整度进行验收。若为达到采购人要求，采购人有权拒付相关工程款项。</w:t>
      </w:r>
    </w:p>
    <w:p w14:paraId="661BC423">
      <w:pPr>
        <w:pStyle w:val="274"/>
        <w:pageBreakBefore w:val="0"/>
        <w:kinsoku/>
        <w:wordWrap/>
        <w:overflowPunct/>
        <w:topLinePunct w:val="0"/>
        <w:autoSpaceDE/>
        <w:autoSpaceDN/>
        <w:bidi w:val="0"/>
        <w:adjustRightInd/>
        <w:snapToGrid w:val="0"/>
        <w:spacing w:line="312" w:lineRule="auto"/>
        <w:ind w:firstLine="420" w:firstLineChars="200"/>
        <w:contextualSpacing/>
        <w:jc w:val="both"/>
        <w:textAlignment w:val="auto"/>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14.承包人进场材料未按招标文件、项目特征等相关的要求进场，建设单位有权要求施工单位清退，拒不执行的，建设单位有权没收并处以所进场材料价格30%的罚款，罚款金额在工程款中直接扣除。</w:t>
      </w:r>
    </w:p>
    <w:p w14:paraId="60F831FA">
      <w:pPr>
        <w:pStyle w:val="274"/>
        <w:pageBreakBefore w:val="0"/>
        <w:kinsoku/>
        <w:wordWrap/>
        <w:overflowPunct/>
        <w:topLinePunct w:val="0"/>
        <w:autoSpaceDE/>
        <w:autoSpaceDN/>
        <w:bidi w:val="0"/>
        <w:adjustRightInd/>
        <w:snapToGrid w:val="0"/>
        <w:spacing w:line="312" w:lineRule="auto"/>
        <w:ind w:firstLine="420" w:firstLineChars="200"/>
        <w:contextualSpacing/>
        <w:jc w:val="both"/>
        <w:textAlignment w:val="auto"/>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15.因承包人原因逾期（评标结果公示结束之日起7日内）缴纳履约保证金及完成签订合同的，每天须缴纳500元的违约金，逾期7日及以上的，发包人有权取消承包人的中标资格，并上报招投标监管部门予以公示曝光。</w:t>
      </w:r>
    </w:p>
    <w:p w14:paraId="1ED483DB">
      <w:pPr>
        <w:pStyle w:val="274"/>
        <w:pageBreakBefore w:val="0"/>
        <w:kinsoku/>
        <w:wordWrap/>
        <w:overflowPunct/>
        <w:topLinePunct w:val="0"/>
        <w:autoSpaceDE/>
        <w:autoSpaceDN/>
        <w:bidi w:val="0"/>
        <w:adjustRightInd/>
        <w:snapToGrid w:val="0"/>
        <w:spacing w:line="312" w:lineRule="auto"/>
        <w:ind w:firstLine="420" w:firstLineChars="200"/>
        <w:contextualSpacing/>
        <w:jc w:val="both"/>
        <w:textAlignment w:val="auto"/>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16.因本合同中所述产生的的经济处罚将由采购人直接在工程款中直接扣除。</w:t>
      </w:r>
    </w:p>
    <w:p w14:paraId="7E76D4FC">
      <w:pPr>
        <w:pStyle w:val="274"/>
        <w:pageBreakBefore w:val="0"/>
        <w:kinsoku/>
        <w:wordWrap/>
        <w:overflowPunct/>
        <w:topLinePunct w:val="0"/>
        <w:autoSpaceDE/>
        <w:autoSpaceDN/>
        <w:bidi w:val="0"/>
        <w:adjustRightInd/>
        <w:snapToGrid w:val="0"/>
        <w:spacing w:line="312" w:lineRule="auto"/>
        <w:ind w:firstLine="420" w:firstLineChars="200"/>
        <w:contextualSpacing/>
        <w:jc w:val="both"/>
        <w:textAlignment w:val="auto"/>
        <w:rPr>
          <w:rFonts w:ascii="宋体" w:hAnsi="宋体"/>
          <w:b/>
          <w:color w:val="auto"/>
          <w:highlight w:val="none"/>
        </w:rPr>
      </w:pPr>
      <w:r>
        <w:rPr>
          <w:rFonts w:hint="eastAsia" w:ascii="宋体" w:hAnsi="宋体" w:eastAsia="宋体" w:cs="Times New Roman"/>
          <w:color w:val="auto"/>
          <w:kern w:val="2"/>
          <w:sz w:val="21"/>
          <w:szCs w:val="21"/>
          <w:highlight w:val="none"/>
        </w:rPr>
        <w:t>17.除合同中已经约定的各种违约责任外，凡因乙方原因导致约谈等需要处罚的，违约金不超过合同金额的10%。</w:t>
      </w:r>
    </w:p>
    <w:p w14:paraId="7E22D77D">
      <w:pPr>
        <w:pageBreakBefore w:val="0"/>
        <w:kinsoku/>
        <w:wordWrap/>
        <w:overflowPunct/>
        <w:topLinePunct w:val="0"/>
        <w:autoSpaceDE/>
        <w:autoSpaceDN/>
        <w:bidi w:val="0"/>
        <w:adjustRightInd/>
        <w:snapToGrid w:val="0"/>
        <w:spacing w:line="312" w:lineRule="auto"/>
        <w:ind w:firstLine="482"/>
        <w:textAlignment w:val="auto"/>
        <w:rPr>
          <w:rFonts w:ascii="宋体" w:hAnsi="宋体"/>
          <w:b/>
          <w:color w:val="auto"/>
          <w:highlight w:val="none"/>
        </w:rPr>
      </w:pPr>
    </w:p>
    <w:p w14:paraId="2E90852F">
      <w:pPr>
        <w:pageBreakBefore w:val="0"/>
        <w:kinsoku/>
        <w:wordWrap/>
        <w:overflowPunct/>
        <w:topLinePunct w:val="0"/>
        <w:autoSpaceDE/>
        <w:autoSpaceDN/>
        <w:bidi w:val="0"/>
        <w:adjustRightInd/>
        <w:snapToGrid w:val="0"/>
        <w:spacing w:line="312" w:lineRule="auto"/>
        <w:ind w:firstLine="482"/>
        <w:textAlignment w:val="auto"/>
        <w:rPr>
          <w:rFonts w:ascii="宋体" w:hAnsi="宋体"/>
          <w:b/>
          <w:color w:val="auto"/>
          <w:highlight w:val="none"/>
        </w:rPr>
      </w:pPr>
      <w:r>
        <w:rPr>
          <w:rFonts w:ascii="宋体" w:hAnsi="宋体"/>
          <w:b/>
          <w:color w:val="auto"/>
          <w:highlight w:val="none"/>
        </w:rPr>
        <w:t>附件</w:t>
      </w:r>
      <w:bookmarkEnd w:id="524"/>
    </w:p>
    <w:p w14:paraId="3C307259">
      <w:pPr>
        <w:pStyle w:val="271"/>
        <w:pageBreakBefore w:val="0"/>
        <w:kinsoku/>
        <w:wordWrap/>
        <w:overflowPunct/>
        <w:topLinePunct w:val="0"/>
        <w:autoSpaceDE/>
        <w:autoSpaceDN/>
        <w:bidi w:val="0"/>
        <w:adjustRightInd/>
        <w:snapToGrid w:val="0"/>
        <w:spacing w:line="312" w:lineRule="auto"/>
        <w:ind w:firstLine="420" w:firstLineChars="200"/>
        <w:jc w:val="left"/>
        <w:textAlignment w:val="auto"/>
        <w:rPr>
          <w:rFonts w:ascii="宋体" w:hAnsi="宋体" w:eastAsia="宋体"/>
          <w:color w:val="auto"/>
          <w:kern w:val="2"/>
          <w:sz w:val="21"/>
          <w:szCs w:val="21"/>
          <w:highlight w:val="none"/>
        </w:rPr>
      </w:pPr>
      <w:r>
        <w:rPr>
          <w:rFonts w:hint="eastAsia" w:ascii="宋体" w:hAnsi="宋体" w:eastAsia="宋体"/>
          <w:color w:val="auto"/>
          <w:kern w:val="2"/>
          <w:sz w:val="21"/>
          <w:szCs w:val="21"/>
          <w:highlight w:val="none"/>
        </w:rPr>
        <w:t>专用合同条款附件：</w:t>
      </w:r>
    </w:p>
    <w:p w14:paraId="687D992A">
      <w:pPr>
        <w:pStyle w:val="271"/>
        <w:pageBreakBefore w:val="0"/>
        <w:kinsoku/>
        <w:wordWrap/>
        <w:overflowPunct/>
        <w:topLinePunct w:val="0"/>
        <w:autoSpaceDE/>
        <w:autoSpaceDN/>
        <w:bidi w:val="0"/>
        <w:adjustRightInd/>
        <w:snapToGrid w:val="0"/>
        <w:spacing w:line="312" w:lineRule="auto"/>
        <w:ind w:firstLine="420" w:firstLineChars="200"/>
        <w:jc w:val="left"/>
        <w:textAlignment w:val="auto"/>
        <w:rPr>
          <w:rFonts w:ascii="宋体" w:hAnsi="宋体" w:eastAsia="宋体"/>
          <w:color w:val="auto"/>
          <w:kern w:val="2"/>
          <w:sz w:val="21"/>
          <w:szCs w:val="21"/>
          <w:highlight w:val="none"/>
        </w:rPr>
      </w:pPr>
      <w:r>
        <w:rPr>
          <w:rFonts w:ascii="宋体" w:hAnsi="宋体" w:eastAsia="宋体"/>
          <w:color w:val="auto"/>
          <w:kern w:val="2"/>
          <w:sz w:val="21"/>
          <w:szCs w:val="21"/>
          <w:highlight w:val="none"/>
        </w:rPr>
        <w:t>附件</w:t>
      </w:r>
      <w:r>
        <w:rPr>
          <w:rFonts w:hint="eastAsia" w:ascii="宋体" w:hAnsi="宋体" w:eastAsia="宋体"/>
          <w:color w:val="auto"/>
          <w:kern w:val="2"/>
          <w:sz w:val="21"/>
          <w:szCs w:val="21"/>
          <w:highlight w:val="none"/>
        </w:rPr>
        <w:t>1</w:t>
      </w:r>
      <w:r>
        <w:rPr>
          <w:rFonts w:ascii="宋体" w:hAnsi="宋体" w:eastAsia="宋体"/>
          <w:color w:val="auto"/>
          <w:kern w:val="2"/>
          <w:sz w:val="21"/>
          <w:szCs w:val="21"/>
          <w:highlight w:val="none"/>
        </w:rPr>
        <w:t>：工程质量保修书</w:t>
      </w:r>
    </w:p>
    <w:p w14:paraId="05E35365">
      <w:pPr>
        <w:pStyle w:val="271"/>
        <w:pageBreakBefore w:val="0"/>
        <w:kinsoku/>
        <w:wordWrap/>
        <w:overflowPunct/>
        <w:topLinePunct w:val="0"/>
        <w:autoSpaceDE/>
        <w:autoSpaceDN/>
        <w:bidi w:val="0"/>
        <w:adjustRightInd/>
        <w:snapToGrid w:val="0"/>
        <w:spacing w:line="312" w:lineRule="auto"/>
        <w:ind w:firstLine="420" w:firstLineChars="200"/>
        <w:jc w:val="left"/>
        <w:textAlignment w:val="auto"/>
        <w:rPr>
          <w:rFonts w:ascii="宋体" w:hAnsi="宋体" w:eastAsia="宋体"/>
          <w:color w:val="auto"/>
          <w:kern w:val="2"/>
          <w:sz w:val="21"/>
          <w:szCs w:val="21"/>
          <w:highlight w:val="none"/>
        </w:rPr>
      </w:pPr>
      <w:r>
        <w:rPr>
          <w:rFonts w:ascii="宋体" w:hAnsi="宋体" w:eastAsia="宋体"/>
          <w:color w:val="auto"/>
          <w:kern w:val="2"/>
          <w:sz w:val="21"/>
          <w:szCs w:val="21"/>
          <w:highlight w:val="none"/>
        </w:rPr>
        <w:t>附件</w:t>
      </w:r>
      <w:r>
        <w:rPr>
          <w:rFonts w:hint="eastAsia" w:ascii="宋体" w:hAnsi="宋体" w:eastAsia="宋体"/>
          <w:color w:val="auto"/>
          <w:kern w:val="2"/>
          <w:sz w:val="21"/>
          <w:szCs w:val="21"/>
          <w:highlight w:val="none"/>
        </w:rPr>
        <w:t>2</w:t>
      </w:r>
      <w:r>
        <w:rPr>
          <w:rFonts w:ascii="宋体" w:hAnsi="宋体" w:eastAsia="宋体"/>
          <w:color w:val="auto"/>
          <w:kern w:val="2"/>
          <w:sz w:val="21"/>
          <w:szCs w:val="21"/>
          <w:highlight w:val="none"/>
        </w:rPr>
        <w:t>：承包人主要施工管理人员表</w:t>
      </w:r>
    </w:p>
    <w:p w14:paraId="19C656F5">
      <w:pPr>
        <w:pStyle w:val="5"/>
        <w:pageBreakBefore w:val="0"/>
        <w:kinsoku/>
        <w:wordWrap/>
        <w:overflowPunct/>
        <w:topLinePunct w:val="0"/>
        <w:autoSpaceDE/>
        <w:autoSpaceDN/>
        <w:bidi w:val="0"/>
        <w:adjustRightInd/>
        <w:snapToGrid w:val="0"/>
        <w:spacing w:before="0" w:after="0" w:line="312" w:lineRule="auto"/>
        <w:textAlignment w:val="auto"/>
        <w:rPr>
          <w:color w:val="auto"/>
          <w:highlight w:val="none"/>
        </w:rPr>
      </w:pPr>
    </w:p>
    <w:p w14:paraId="13FF5D49">
      <w:pPr>
        <w:pStyle w:val="271"/>
        <w:pageBreakBefore w:val="0"/>
        <w:kinsoku/>
        <w:wordWrap/>
        <w:overflowPunct/>
        <w:topLinePunct w:val="0"/>
        <w:autoSpaceDE/>
        <w:autoSpaceDN/>
        <w:bidi w:val="0"/>
        <w:adjustRightInd/>
        <w:snapToGrid w:val="0"/>
        <w:spacing w:line="312" w:lineRule="auto"/>
        <w:contextualSpacing/>
        <w:textAlignment w:val="auto"/>
        <w:rPr>
          <w:rFonts w:ascii="宋体" w:hAnsi="宋体" w:eastAsia="宋体"/>
          <w:b/>
          <w:color w:val="auto"/>
          <w:sz w:val="21"/>
          <w:szCs w:val="21"/>
          <w:highlight w:val="none"/>
        </w:rPr>
        <w:sectPr>
          <w:headerReference r:id="rId9" w:type="default"/>
          <w:footerReference r:id="rId10" w:type="default"/>
          <w:pgSz w:w="11906" w:h="16838"/>
          <w:pgMar w:top="1440" w:right="1085" w:bottom="1440" w:left="1701" w:header="851" w:footer="992" w:gutter="0"/>
          <w:cols w:space="425" w:num="1"/>
          <w:docGrid w:linePitch="360" w:charSpace="0"/>
        </w:sectPr>
      </w:pPr>
    </w:p>
    <w:p w14:paraId="53A62032">
      <w:pPr>
        <w:pStyle w:val="271"/>
        <w:spacing w:line="360" w:lineRule="auto"/>
        <w:contextualSpacing/>
        <w:rPr>
          <w:rFonts w:ascii="宋体" w:hAnsi="宋体" w:eastAsia="宋体"/>
          <w:b/>
          <w:color w:val="auto"/>
          <w:sz w:val="21"/>
          <w:szCs w:val="21"/>
          <w:highlight w:val="none"/>
        </w:rPr>
      </w:pPr>
      <w:r>
        <w:rPr>
          <w:rFonts w:ascii="宋体" w:hAnsi="宋体" w:eastAsia="宋体"/>
          <w:b/>
          <w:color w:val="auto"/>
          <w:sz w:val="21"/>
          <w:szCs w:val="21"/>
          <w:highlight w:val="none"/>
        </w:rPr>
        <w:t>附件</w:t>
      </w:r>
      <w:r>
        <w:rPr>
          <w:rFonts w:hint="eastAsia" w:ascii="宋体" w:hAnsi="宋体" w:eastAsia="宋体"/>
          <w:b/>
          <w:color w:val="auto"/>
          <w:sz w:val="21"/>
          <w:szCs w:val="21"/>
          <w:highlight w:val="none"/>
        </w:rPr>
        <w:t>1</w:t>
      </w:r>
      <w:r>
        <w:rPr>
          <w:rFonts w:ascii="宋体" w:hAnsi="宋体" w:eastAsia="宋体"/>
          <w:b/>
          <w:color w:val="auto"/>
          <w:sz w:val="21"/>
          <w:szCs w:val="21"/>
          <w:highlight w:val="none"/>
        </w:rPr>
        <w:t xml:space="preserve">： </w:t>
      </w:r>
    </w:p>
    <w:p w14:paraId="0F9442AB">
      <w:pPr>
        <w:pStyle w:val="271"/>
        <w:spacing w:line="360" w:lineRule="auto"/>
        <w:contextualSpacing/>
        <w:jc w:val="center"/>
        <w:rPr>
          <w:rFonts w:ascii="宋体" w:hAnsi="宋体" w:eastAsia="宋体"/>
          <w:b/>
          <w:color w:val="auto"/>
          <w:sz w:val="21"/>
          <w:szCs w:val="21"/>
          <w:highlight w:val="none"/>
        </w:rPr>
      </w:pPr>
      <w:r>
        <w:rPr>
          <w:rFonts w:ascii="宋体" w:hAnsi="宋体" w:eastAsia="宋体"/>
          <w:b/>
          <w:color w:val="auto"/>
          <w:sz w:val="21"/>
          <w:szCs w:val="21"/>
          <w:highlight w:val="none"/>
        </w:rPr>
        <w:t>工程质量保修书</w:t>
      </w:r>
    </w:p>
    <w:p w14:paraId="2633E098">
      <w:pPr>
        <w:pStyle w:val="271"/>
        <w:spacing w:line="360" w:lineRule="auto"/>
        <w:contextualSpacing/>
        <w:rPr>
          <w:rFonts w:ascii="宋体" w:hAnsi="宋体" w:eastAsia="宋体"/>
          <w:color w:val="auto"/>
          <w:sz w:val="21"/>
          <w:szCs w:val="21"/>
          <w:highlight w:val="none"/>
        </w:rPr>
      </w:pPr>
      <w:r>
        <w:rPr>
          <w:rFonts w:ascii="宋体" w:hAnsi="宋体" w:eastAsia="宋体"/>
          <w:color w:val="auto"/>
          <w:sz w:val="21"/>
          <w:szCs w:val="21"/>
          <w:highlight w:val="none"/>
        </w:rPr>
        <w:t>发包人（全称）：</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 </w:t>
      </w:r>
    </w:p>
    <w:p w14:paraId="55BE19EE">
      <w:pPr>
        <w:pStyle w:val="271"/>
        <w:spacing w:line="360" w:lineRule="auto"/>
        <w:contextualSpacing/>
        <w:rPr>
          <w:rFonts w:ascii="宋体" w:hAnsi="宋体" w:eastAsia="宋体"/>
          <w:color w:val="auto"/>
          <w:sz w:val="21"/>
          <w:szCs w:val="21"/>
          <w:highlight w:val="none"/>
        </w:rPr>
      </w:pPr>
      <w:r>
        <w:rPr>
          <w:rFonts w:ascii="宋体" w:hAnsi="宋体" w:eastAsia="宋体"/>
          <w:color w:val="auto"/>
          <w:sz w:val="21"/>
          <w:szCs w:val="21"/>
          <w:highlight w:val="none"/>
        </w:rPr>
        <w:t>承包人（全称）：</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 </w:t>
      </w:r>
    </w:p>
    <w:p w14:paraId="42298E47">
      <w:pPr>
        <w:pStyle w:val="271"/>
        <w:spacing w:line="360" w:lineRule="auto"/>
        <w:ind w:firstLine="420" w:firstLineChars="200"/>
        <w:contextualSpacing/>
        <w:rPr>
          <w:rFonts w:ascii="宋体" w:hAnsi="宋体" w:eastAsia="宋体"/>
          <w:color w:val="auto"/>
          <w:sz w:val="21"/>
          <w:szCs w:val="21"/>
          <w:highlight w:val="none"/>
        </w:rPr>
      </w:pPr>
      <w:r>
        <w:rPr>
          <w:rFonts w:ascii="宋体" w:hAnsi="宋体" w:eastAsia="宋体"/>
          <w:color w:val="auto"/>
          <w:sz w:val="21"/>
          <w:szCs w:val="21"/>
          <w:highlight w:val="none"/>
        </w:rPr>
        <w:t>发包人和承包人根据《中华人民共和国建筑法》和《建设工程质量管理条例》，经协商一致就</w:t>
      </w:r>
      <w:r>
        <w:rPr>
          <w:rFonts w:ascii="宋体" w:hAnsi="宋体" w:eastAsia="宋体"/>
          <w:color w:val="auto"/>
          <w:sz w:val="21"/>
          <w:szCs w:val="21"/>
          <w:highlight w:val="none"/>
          <w:u w:val="single"/>
        </w:rPr>
        <w:t xml:space="preserve">     （工程全称）</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rPr>
        <w:t>签订工程质量保修书。</w:t>
      </w:r>
    </w:p>
    <w:p w14:paraId="65C43A8F">
      <w:pPr>
        <w:pStyle w:val="271"/>
        <w:spacing w:line="360" w:lineRule="auto"/>
        <w:ind w:firstLine="422" w:firstLineChars="200"/>
        <w:contextualSpacing/>
        <w:rPr>
          <w:rFonts w:ascii="宋体" w:hAnsi="宋体" w:eastAsia="宋体"/>
          <w:color w:val="auto"/>
          <w:sz w:val="21"/>
          <w:szCs w:val="21"/>
          <w:highlight w:val="none"/>
        </w:rPr>
      </w:pPr>
      <w:r>
        <w:rPr>
          <w:rFonts w:ascii="宋体" w:hAnsi="宋体" w:eastAsia="宋体"/>
          <w:b/>
          <w:color w:val="auto"/>
          <w:sz w:val="21"/>
          <w:szCs w:val="21"/>
          <w:highlight w:val="none"/>
        </w:rPr>
        <w:t>一、工程质量保修范围和内容</w:t>
      </w:r>
    </w:p>
    <w:p w14:paraId="75C574F8">
      <w:pPr>
        <w:pStyle w:val="271"/>
        <w:spacing w:line="360" w:lineRule="auto"/>
        <w:ind w:firstLine="420" w:firstLineChars="200"/>
        <w:contextualSpacing/>
        <w:rPr>
          <w:rFonts w:ascii="宋体" w:hAnsi="宋体" w:eastAsia="宋体"/>
          <w:color w:val="auto"/>
          <w:sz w:val="21"/>
          <w:szCs w:val="21"/>
          <w:highlight w:val="none"/>
        </w:rPr>
      </w:pPr>
      <w:r>
        <w:rPr>
          <w:rFonts w:ascii="宋体" w:hAnsi="宋体" w:eastAsia="宋体"/>
          <w:color w:val="auto"/>
          <w:sz w:val="21"/>
          <w:szCs w:val="21"/>
          <w:highlight w:val="none"/>
        </w:rPr>
        <w:t>承包人在质量保修期内，按照有关法律规定和合同约定，承担工程质量保修责任。</w:t>
      </w:r>
    </w:p>
    <w:p w14:paraId="3F3AFE4E">
      <w:pPr>
        <w:pStyle w:val="271"/>
        <w:spacing w:line="360" w:lineRule="auto"/>
        <w:ind w:firstLine="420" w:firstLineChars="200"/>
        <w:contextualSpacing/>
        <w:rPr>
          <w:rFonts w:ascii="宋体" w:hAnsi="宋体" w:eastAsia="宋体"/>
          <w:color w:val="auto"/>
          <w:sz w:val="21"/>
          <w:szCs w:val="21"/>
          <w:highlight w:val="none"/>
          <w:u w:val="single"/>
        </w:rPr>
      </w:pPr>
      <w:r>
        <w:rPr>
          <w:rFonts w:ascii="宋体" w:hAnsi="宋体" w:eastAsia="宋体"/>
          <w:color w:val="auto"/>
          <w:sz w:val="21"/>
          <w:szCs w:val="21"/>
          <w:highlight w:val="none"/>
        </w:rPr>
        <w:t>质量保修范围包括</w:t>
      </w:r>
      <w:r>
        <w:rPr>
          <w:rFonts w:hint="eastAsia" w:ascii="宋体" w:hAnsi="宋体" w:eastAsia="宋体"/>
          <w:color w:val="auto"/>
          <w:sz w:val="21"/>
          <w:szCs w:val="21"/>
          <w:highlight w:val="none"/>
        </w:rPr>
        <w:t>：</w:t>
      </w:r>
      <w:r>
        <w:rPr>
          <w:rFonts w:ascii="宋体" w:hAnsi="宋体" w:eastAsia="宋体"/>
          <w:color w:val="auto"/>
          <w:sz w:val="21"/>
          <w:szCs w:val="21"/>
          <w:highlight w:val="none"/>
          <w:u w:val="single"/>
        </w:rPr>
        <w:t>本工程承包人全部施工范围内的所有施工项目。</w:t>
      </w:r>
    </w:p>
    <w:p w14:paraId="3EACE9C5">
      <w:pPr>
        <w:pStyle w:val="271"/>
        <w:spacing w:line="360" w:lineRule="auto"/>
        <w:ind w:firstLine="420" w:firstLineChars="200"/>
        <w:contextualSpacing/>
        <w:rPr>
          <w:rFonts w:ascii="宋体" w:hAnsi="宋体" w:eastAsia="宋体"/>
          <w:color w:val="auto"/>
          <w:sz w:val="21"/>
          <w:szCs w:val="21"/>
          <w:highlight w:val="none"/>
        </w:rPr>
      </w:pPr>
      <w:r>
        <w:rPr>
          <w:rFonts w:ascii="宋体" w:hAnsi="宋体" w:eastAsia="宋体"/>
          <w:color w:val="auto"/>
          <w:sz w:val="21"/>
          <w:szCs w:val="21"/>
          <w:highlight w:val="none"/>
        </w:rPr>
        <w:t>具体保修的内容，双方约定如下：</w:t>
      </w:r>
      <w:r>
        <w:rPr>
          <w:rFonts w:ascii="宋体" w:hAnsi="宋体" w:eastAsia="宋体"/>
          <w:color w:val="auto"/>
          <w:sz w:val="21"/>
          <w:szCs w:val="21"/>
          <w:highlight w:val="none"/>
          <w:u w:val="single"/>
        </w:rPr>
        <w:t>合同约定施工项目存在由施工质量引起的质量缺陷问题和由此引发的工程、设施等损坏，没有达到其产品寿命</w:t>
      </w:r>
      <w:r>
        <w:rPr>
          <w:rFonts w:ascii="宋体" w:hAnsi="宋体" w:eastAsia="宋体"/>
          <w:color w:val="auto"/>
          <w:sz w:val="21"/>
          <w:szCs w:val="21"/>
          <w:highlight w:val="none"/>
        </w:rPr>
        <w:t>。</w:t>
      </w:r>
    </w:p>
    <w:p w14:paraId="4AACF80F">
      <w:pPr>
        <w:pStyle w:val="271"/>
        <w:spacing w:line="360" w:lineRule="auto"/>
        <w:ind w:firstLine="422" w:firstLineChars="200"/>
        <w:contextualSpacing/>
        <w:rPr>
          <w:rFonts w:ascii="宋体" w:hAnsi="宋体" w:eastAsia="宋体"/>
          <w:b/>
          <w:color w:val="auto"/>
          <w:sz w:val="21"/>
          <w:szCs w:val="21"/>
          <w:highlight w:val="none"/>
        </w:rPr>
      </w:pPr>
      <w:r>
        <w:rPr>
          <w:rFonts w:ascii="宋体" w:hAnsi="宋体" w:eastAsia="宋体"/>
          <w:b/>
          <w:color w:val="auto"/>
          <w:sz w:val="21"/>
          <w:szCs w:val="21"/>
          <w:highlight w:val="none"/>
        </w:rPr>
        <w:t>二、质量保修期</w:t>
      </w:r>
    </w:p>
    <w:p w14:paraId="4C702659">
      <w:pPr>
        <w:pStyle w:val="271"/>
        <w:spacing w:line="360" w:lineRule="auto"/>
        <w:ind w:firstLine="420" w:firstLineChars="200"/>
        <w:contextualSpacing/>
        <w:rPr>
          <w:rFonts w:ascii="宋体" w:hAnsi="宋体" w:eastAsia="宋体"/>
          <w:color w:val="auto"/>
          <w:sz w:val="21"/>
          <w:szCs w:val="21"/>
          <w:highlight w:val="none"/>
        </w:rPr>
      </w:pPr>
      <w:r>
        <w:rPr>
          <w:rFonts w:ascii="宋体" w:hAnsi="宋体" w:eastAsia="宋体"/>
          <w:color w:val="auto"/>
          <w:sz w:val="21"/>
          <w:szCs w:val="21"/>
          <w:highlight w:val="none"/>
        </w:rPr>
        <w:t>根据《建设工程质量管理条例》及有关规定，工程的质量保修期如下：</w:t>
      </w:r>
    </w:p>
    <w:p w14:paraId="181A8EC3">
      <w:pPr>
        <w:pStyle w:val="271"/>
        <w:spacing w:line="360" w:lineRule="auto"/>
        <w:ind w:firstLine="420" w:firstLineChars="200"/>
        <w:contextualSpacing/>
        <w:rPr>
          <w:rFonts w:ascii="宋体" w:hAnsi="宋体" w:eastAsia="宋体"/>
          <w:color w:val="auto"/>
          <w:sz w:val="21"/>
          <w:szCs w:val="21"/>
          <w:highlight w:val="none"/>
        </w:rPr>
      </w:pPr>
      <w:r>
        <w:rPr>
          <w:rFonts w:hint="eastAsia" w:ascii="宋体" w:hAnsi="宋体" w:eastAsia="宋体"/>
          <w:color w:val="auto"/>
          <w:sz w:val="21"/>
          <w:szCs w:val="21"/>
          <w:highlight w:val="none"/>
        </w:rPr>
        <w:t>1．</w:t>
      </w:r>
      <w:r>
        <w:rPr>
          <w:rFonts w:ascii="宋体" w:hAnsi="宋体" w:eastAsia="宋体"/>
          <w:color w:val="auto"/>
          <w:sz w:val="21"/>
          <w:szCs w:val="21"/>
          <w:highlight w:val="none"/>
        </w:rPr>
        <w:t>市政基础设施工程、房屋建筑的基础工程和主体结构工程</w:t>
      </w:r>
      <w:r>
        <w:rPr>
          <w:rFonts w:hint="eastAsia" w:ascii="宋体" w:hAnsi="宋体" w:eastAsia="宋体"/>
          <w:color w:val="auto"/>
          <w:sz w:val="21"/>
          <w:szCs w:val="21"/>
          <w:highlight w:val="none"/>
        </w:rPr>
        <w:t>为</w:t>
      </w:r>
      <w:r>
        <w:rPr>
          <w:rFonts w:hint="eastAsia" w:ascii="宋体" w:hAnsi="宋体" w:eastAsia="宋体"/>
          <w:color w:val="auto"/>
          <w:sz w:val="21"/>
          <w:szCs w:val="21"/>
          <w:highlight w:val="none"/>
          <w:u w:val="single"/>
        </w:rPr>
        <w:t>设计文件规定的工程合理使用年限</w:t>
      </w:r>
      <w:r>
        <w:rPr>
          <w:rFonts w:hint="eastAsia" w:ascii="宋体" w:hAnsi="宋体" w:eastAsia="宋体"/>
          <w:color w:val="auto"/>
          <w:sz w:val="21"/>
          <w:szCs w:val="21"/>
          <w:highlight w:val="none"/>
        </w:rPr>
        <w:t>；</w:t>
      </w:r>
    </w:p>
    <w:p w14:paraId="07D4A2A7">
      <w:pPr>
        <w:pStyle w:val="271"/>
        <w:spacing w:line="360" w:lineRule="auto"/>
        <w:ind w:firstLine="420" w:firstLineChars="200"/>
        <w:contextualSpacing/>
        <w:rPr>
          <w:rFonts w:ascii="宋体" w:hAnsi="宋体" w:eastAsia="宋体"/>
          <w:color w:val="auto"/>
          <w:sz w:val="21"/>
          <w:szCs w:val="21"/>
          <w:highlight w:val="none"/>
        </w:rPr>
      </w:pPr>
      <w:r>
        <w:rPr>
          <w:rFonts w:hint="eastAsia" w:ascii="宋体" w:hAnsi="宋体" w:eastAsia="宋体"/>
          <w:color w:val="auto"/>
          <w:sz w:val="21"/>
          <w:szCs w:val="21"/>
          <w:highlight w:val="none"/>
        </w:rPr>
        <w:t>2．</w:t>
      </w:r>
      <w:r>
        <w:rPr>
          <w:rFonts w:ascii="宋体" w:hAnsi="宋体" w:eastAsia="宋体"/>
          <w:color w:val="auto"/>
          <w:sz w:val="21"/>
          <w:szCs w:val="21"/>
          <w:highlight w:val="none"/>
        </w:rPr>
        <w:t>电气管线、给排水管道、设备安装工程为</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2</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年；</w:t>
      </w:r>
    </w:p>
    <w:p w14:paraId="267F6617">
      <w:pPr>
        <w:pStyle w:val="271"/>
        <w:spacing w:line="360" w:lineRule="auto"/>
        <w:ind w:firstLine="420" w:firstLineChars="200"/>
        <w:contextualSpacing/>
        <w:rPr>
          <w:rFonts w:ascii="宋体" w:hAnsi="宋体" w:eastAsia="宋体"/>
          <w:color w:val="auto"/>
          <w:sz w:val="21"/>
          <w:szCs w:val="21"/>
          <w:highlight w:val="none"/>
        </w:rPr>
      </w:pPr>
      <w:r>
        <w:rPr>
          <w:rFonts w:hint="eastAsia" w:ascii="宋体" w:hAnsi="宋体" w:eastAsia="宋体"/>
          <w:color w:val="auto"/>
          <w:sz w:val="21"/>
          <w:szCs w:val="21"/>
          <w:highlight w:val="none"/>
        </w:rPr>
        <w:t>3．</w:t>
      </w:r>
      <w:r>
        <w:rPr>
          <w:rFonts w:ascii="宋体" w:hAnsi="宋体" w:eastAsia="宋体"/>
          <w:color w:val="auto"/>
          <w:sz w:val="21"/>
          <w:szCs w:val="21"/>
          <w:highlight w:val="none"/>
        </w:rPr>
        <w:t>住宅小区内的给排水设施、道路等配套工程为</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2</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年；</w:t>
      </w:r>
    </w:p>
    <w:p w14:paraId="2DABFA8E">
      <w:pPr>
        <w:pStyle w:val="271"/>
        <w:spacing w:line="360" w:lineRule="auto"/>
        <w:ind w:firstLine="420" w:firstLineChars="200"/>
        <w:contextualSpacing/>
        <w:rPr>
          <w:rFonts w:ascii="宋体" w:hAnsi="宋体" w:eastAsia="宋体"/>
          <w:color w:val="auto"/>
          <w:sz w:val="21"/>
          <w:szCs w:val="21"/>
          <w:highlight w:val="none"/>
        </w:rPr>
      </w:pPr>
      <w:r>
        <w:rPr>
          <w:rFonts w:hint="eastAsia" w:ascii="宋体" w:hAnsi="宋体" w:eastAsia="宋体"/>
          <w:color w:val="auto"/>
          <w:sz w:val="21"/>
          <w:szCs w:val="21"/>
          <w:highlight w:val="none"/>
        </w:rPr>
        <w:t>4．</w:t>
      </w:r>
      <w:r>
        <w:rPr>
          <w:color w:val="auto"/>
          <w:highlight w:val="none"/>
        </w:rPr>
        <w:fldChar w:fldCharType="begin"/>
      </w:r>
      <w:r>
        <w:rPr>
          <w:color w:val="auto"/>
          <w:highlight w:val="none"/>
        </w:rPr>
        <w:instrText xml:space="preserve"> HYPERLINK "https://www.baidu.com/s?wd=%E5%B1%8B%E9%9D%A2%E9%98%B2%E6%B0%B4%E5%B7%A5%E7%A8%8B&amp;tn=SE_PcZhidaonwhc_ngpagmjz&amp;rsv_dl=gh_pc_zhidao" \t "_blank" </w:instrText>
      </w:r>
      <w:r>
        <w:rPr>
          <w:color w:val="auto"/>
          <w:highlight w:val="none"/>
        </w:rPr>
        <w:fldChar w:fldCharType="separate"/>
      </w:r>
      <w:r>
        <w:rPr>
          <w:rFonts w:ascii="宋体" w:hAnsi="宋体" w:eastAsia="宋体"/>
          <w:color w:val="auto"/>
          <w:sz w:val="21"/>
          <w:szCs w:val="21"/>
          <w:highlight w:val="none"/>
        </w:rPr>
        <w:t>屋面防水工程</w:t>
      </w:r>
      <w:r>
        <w:rPr>
          <w:rFonts w:ascii="宋体" w:hAnsi="宋体" w:eastAsia="宋体"/>
          <w:color w:val="auto"/>
          <w:sz w:val="21"/>
          <w:szCs w:val="21"/>
          <w:highlight w:val="none"/>
        </w:rPr>
        <w:fldChar w:fldCharType="end"/>
      </w:r>
      <w:r>
        <w:rPr>
          <w:rFonts w:ascii="宋体" w:hAnsi="宋体" w:eastAsia="宋体"/>
          <w:color w:val="auto"/>
          <w:sz w:val="21"/>
          <w:szCs w:val="21"/>
          <w:highlight w:val="none"/>
        </w:rPr>
        <w:t>、有防水要求的卫生间、房间和外墙面的防渗漏为</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5</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rPr>
        <w:t>年</w:t>
      </w:r>
    </w:p>
    <w:p w14:paraId="48F4A7E1">
      <w:pPr>
        <w:pStyle w:val="271"/>
        <w:spacing w:line="360" w:lineRule="auto"/>
        <w:ind w:firstLine="420" w:firstLineChars="200"/>
        <w:contextualSpacing/>
        <w:rPr>
          <w:rFonts w:ascii="宋体" w:hAnsi="宋体" w:eastAsia="宋体"/>
          <w:color w:val="auto"/>
          <w:sz w:val="21"/>
          <w:szCs w:val="21"/>
          <w:highlight w:val="none"/>
        </w:rPr>
      </w:pPr>
      <w:r>
        <w:rPr>
          <w:rFonts w:hint="eastAsia" w:ascii="宋体" w:hAnsi="宋体" w:eastAsia="宋体"/>
          <w:color w:val="auto"/>
          <w:sz w:val="21"/>
          <w:szCs w:val="21"/>
          <w:highlight w:val="none"/>
        </w:rPr>
        <w:t>5．</w:t>
      </w:r>
      <w:r>
        <w:rPr>
          <w:rFonts w:ascii="宋体" w:hAnsi="宋体" w:eastAsia="宋体"/>
          <w:color w:val="auto"/>
          <w:sz w:val="21"/>
          <w:szCs w:val="21"/>
          <w:highlight w:val="none"/>
        </w:rPr>
        <w:t>其他项目保修期限约定如下：以上没有说明的其他项目的保修期为</w:t>
      </w:r>
      <w:r>
        <w:rPr>
          <w:rFonts w:hint="eastAsia" w:ascii="宋体" w:hAnsi="宋体" w:eastAsia="宋体"/>
          <w:color w:val="auto"/>
          <w:sz w:val="21"/>
          <w:szCs w:val="21"/>
          <w:highlight w:val="none"/>
          <w:u w:val="single"/>
        </w:rPr>
        <w:t>两</w:t>
      </w:r>
      <w:r>
        <w:rPr>
          <w:rFonts w:ascii="宋体" w:hAnsi="宋体" w:eastAsia="宋体"/>
          <w:color w:val="auto"/>
          <w:sz w:val="21"/>
          <w:szCs w:val="21"/>
          <w:highlight w:val="none"/>
          <w:u w:val="single"/>
        </w:rPr>
        <w:t>年</w:t>
      </w:r>
      <w:r>
        <w:rPr>
          <w:rFonts w:ascii="宋体" w:hAnsi="宋体" w:eastAsia="宋体"/>
          <w:color w:val="auto"/>
          <w:sz w:val="21"/>
          <w:szCs w:val="21"/>
          <w:highlight w:val="none"/>
        </w:rPr>
        <w:t>。</w:t>
      </w:r>
    </w:p>
    <w:p w14:paraId="3CD5B852">
      <w:pPr>
        <w:pStyle w:val="271"/>
        <w:spacing w:line="360" w:lineRule="auto"/>
        <w:ind w:firstLine="420" w:firstLineChars="200"/>
        <w:contextualSpacing/>
        <w:rPr>
          <w:rFonts w:ascii="宋体" w:hAnsi="宋体" w:eastAsia="宋体"/>
          <w:color w:val="auto"/>
          <w:sz w:val="21"/>
          <w:szCs w:val="21"/>
          <w:highlight w:val="none"/>
        </w:rPr>
      </w:pPr>
      <w:r>
        <w:rPr>
          <w:rFonts w:ascii="宋体" w:hAnsi="宋体" w:eastAsia="宋体"/>
          <w:color w:val="auto"/>
          <w:sz w:val="21"/>
          <w:szCs w:val="21"/>
          <w:highlight w:val="none"/>
        </w:rPr>
        <w:t>质量保修期自工程竣工验收合格之日起计算。</w:t>
      </w:r>
    </w:p>
    <w:p w14:paraId="7D59A5E4">
      <w:pPr>
        <w:pStyle w:val="271"/>
        <w:spacing w:line="360" w:lineRule="auto"/>
        <w:ind w:firstLine="422" w:firstLineChars="200"/>
        <w:contextualSpacing/>
        <w:rPr>
          <w:rFonts w:ascii="宋体" w:hAnsi="宋体" w:eastAsia="宋体"/>
          <w:b/>
          <w:color w:val="auto"/>
          <w:sz w:val="21"/>
          <w:szCs w:val="21"/>
          <w:highlight w:val="none"/>
        </w:rPr>
      </w:pPr>
      <w:r>
        <w:rPr>
          <w:rFonts w:ascii="宋体" w:hAnsi="宋体" w:eastAsia="宋体"/>
          <w:b/>
          <w:color w:val="auto"/>
          <w:sz w:val="21"/>
          <w:szCs w:val="21"/>
          <w:highlight w:val="none"/>
        </w:rPr>
        <w:t>三、缺陷责任期</w:t>
      </w:r>
    </w:p>
    <w:p w14:paraId="6BBF670E">
      <w:pPr>
        <w:pStyle w:val="271"/>
        <w:spacing w:line="360" w:lineRule="auto"/>
        <w:ind w:firstLine="420" w:firstLineChars="200"/>
        <w:contextualSpacing/>
        <w:rPr>
          <w:rFonts w:ascii="宋体" w:hAnsi="宋体" w:eastAsia="宋体"/>
          <w:color w:val="auto"/>
          <w:sz w:val="21"/>
          <w:szCs w:val="21"/>
          <w:highlight w:val="none"/>
        </w:rPr>
      </w:pPr>
      <w:r>
        <w:rPr>
          <w:rFonts w:ascii="宋体" w:hAnsi="宋体" w:eastAsia="宋体"/>
          <w:color w:val="auto"/>
          <w:sz w:val="21"/>
          <w:szCs w:val="21"/>
          <w:highlight w:val="none"/>
        </w:rPr>
        <w:t>工程缺陷责任期为</w:t>
      </w:r>
      <w:r>
        <w:rPr>
          <w:rFonts w:ascii="宋体" w:hAnsi="宋体" w:eastAsia="宋体"/>
          <w:color w:val="auto"/>
          <w:sz w:val="21"/>
          <w:szCs w:val="21"/>
          <w:highlight w:val="none"/>
          <w:u w:val="single"/>
        </w:rPr>
        <w:t xml:space="preserve"> </w:t>
      </w:r>
      <w:r>
        <w:rPr>
          <w:rFonts w:hint="eastAsia" w:ascii="宋体" w:hAnsi="宋体"/>
          <w:color w:val="auto"/>
          <w:sz w:val="21"/>
          <w:szCs w:val="21"/>
          <w:highlight w:val="none"/>
          <w:u w:val="single"/>
          <w:lang w:val="en-US" w:eastAsia="zh-CN"/>
        </w:rPr>
        <w:t>24</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个月</w:t>
      </w:r>
      <w:r>
        <w:rPr>
          <w:rFonts w:hint="eastAsia" w:ascii="宋体" w:hAnsi="宋体"/>
          <w:color w:val="auto"/>
          <w:sz w:val="21"/>
          <w:szCs w:val="21"/>
          <w:highlight w:val="none"/>
          <w:lang w:eastAsia="zh-CN"/>
        </w:rPr>
        <w:t>（即养护期2年）</w:t>
      </w:r>
      <w:r>
        <w:rPr>
          <w:rFonts w:ascii="宋体" w:hAnsi="宋体" w:eastAsia="宋体"/>
          <w:color w:val="auto"/>
          <w:sz w:val="21"/>
          <w:szCs w:val="21"/>
          <w:highlight w:val="none"/>
        </w:rPr>
        <w:t>，缺陷责任期自工程</w:t>
      </w:r>
      <w:r>
        <w:rPr>
          <w:rFonts w:hint="eastAsia" w:ascii="宋体" w:hAnsi="宋体" w:eastAsia="宋体"/>
          <w:color w:val="auto"/>
          <w:sz w:val="21"/>
          <w:szCs w:val="21"/>
          <w:highlight w:val="none"/>
        </w:rPr>
        <w:t>实际竣工</w:t>
      </w:r>
      <w:r>
        <w:rPr>
          <w:rFonts w:ascii="宋体" w:hAnsi="宋体" w:eastAsia="宋体"/>
          <w:color w:val="auto"/>
          <w:sz w:val="21"/>
          <w:szCs w:val="21"/>
          <w:highlight w:val="none"/>
        </w:rPr>
        <w:t>之日起计算。单位工程先于全部工程进行验收，单位工程缺陷责任期自单位工程验收合格之日起算。</w:t>
      </w:r>
    </w:p>
    <w:p w14:paraId="6EE41AB9">
      <w:pPr>
        <w:pStyle w:val="271"/>
        <w:spacing w:line="360" w:lineRule="auto"/>
        <w:ind w:firstLine="420" w:firstLineChars="200"/>
        <w:contextualSpacing/>
        <w:rPr>
          <w:rFonts w:ascii="宋体" w:hAnsi="宋体" w:eastAsia="宋体"/>
          <w:color w:val="auto"/>
          <w:sz w:val="21"/>
          <w:szCs w:val="21"/>
          <w:highlight w:val="none"/>
        </w:rPr>
      </w:pPr>
      <w:r>
        <w:rPr>
          <w:rFonts w:ascii="宋体" w:hAnsi="宋体" w:eastAsia="宋体"/>
          <w:color w:val="auto"/>
          <w:sz w:val="21"/>
          <w:szCs w:val="21"/>
          <w:highlight w:val="none"/>
        </w:rPr>
        <w:t>缺陷责任期终止后，发包人应退还剩余的质量保证金。</w:t>
      </w:r>
    </w:p>
    <w:p w14:paraId="2B892E95">
      <w:pPr>
        <w:pStyle w:val="271"/>
        <w:spacing w:line="360" w:lineRule="auto"/>
        <w:ind w:firstLine="314" w:firstLineChars="149"/>
        <w:contextualSpacing/>
        <w:rPr>
          <w:rFonts w:ascii="宋体" w:hAnsi="宋体" w:eastAsia="宋体"/>
          <w:b/>
          <w:color w:val="auto"/>
          <w:sz w:val="21"/>
          <w:szCs w:val="21"/>
          <w:highlight w:val="none"/>
        </w:rPr>
      </w:pPr>
      <w:r>
        <w:rPr>
          <w:rFonts w:ascii="宋体" w:hAnsi="宋体" w:eastAsia="宋体"/>
          <w:b/>
          <w:color w:val="auto"/>
          <w:sz w:val="21"/>
          <w:szCs w:val="21"/>
          <w:highlight w:val="none"/>
        </w:rPr>
        <w:t>四、质量保修责任</w:t>
      </w:r>
    </w:p>
    <w:p w14:paraId="64BD62CC">
      <w:pPr>
        <w:pStyle w:val="271"/>
        <w:spacing w:line="360" w:lineRule="auto"/>
        <w:ind w:firstLine="312" w:firstLineChars="149"/>
        <w:contextualSpacing/>
        <w:rPr>
          <w:rFonts w:ascii="宋体" w:hAnsi="宋体" w:eastAsia="宋体"/>
          <w:b/>
          <w:color w:val="auto"/>
          <w:sz w:val="21"/>
          <w:szCs w:val="21"/>
          <w:highlight w:val="none"/>
        </w:rPr>
      </w:pPr>
      <w:r>
        <w:rPr>
          <w:rFonts w:ascii="宋体" w:hAnsi="宋体" w:eastAsia="宋体"/>
          <w:color w:val="auto"/>
          <w:sz w:val="21"/>
          <w:szCs w:val="21"/>
          <w:highlight w:val="none"/>
        </w:rPr>
        <w:t xml:space="preserve">1、根据《建设工程质量管理条例》的规定， </w:t>
      </w:r>
      <w:r>
        <w:rPr>
          <w:rFonts w:ascii="宋体" w:hAnsi="宋体" w:eastAsia="宋体"/>
          <w:color w:val="auto"/>
          <w:sz w:val="21"/>
          <w:szCs w:val="21"/>
          <w:highlight w:val="none"/>
          <w:u w:val="single"/>
        </w:rPr>
        <w:t>本工程自办理竣工验收手续后，在约定的保修范围和规定的保修期限内发生质量缺陷的，应由承包人履行保修义务，并对造成的损失承担赔偿责任。</w:t>
      </w:r>
    </w:p>
    <w:p w14:paraId="560BA143">
      <w:pPr>
        <w:pStyle w:val="271"/>
        <w:spacing w:line="360" w:lineRule="auto"/>
        <w:ind w:firstLine="312" w:firstLineChars="149"/>
        <w:contextualSpacing/>
        <w:rPr>
          <w:rFonts w:ascii="宋体" w:hAnsi="宋体" w:eastAsia="宋体"/>
          <w:b/>
          <w:color w:val="auto"/>
          <w:sz w:val="21"/>
          <w:szCs w:val="21"/>
          <w:highlight w:val="none"/>
        </w:rPr>
      </w:pPr>
      <w:r>
        <w:rPr>
          <w:rFonts w:ascii="宋体" w:hAnsi="宋体" w:eastAsia="宋体"/>
          <w:color w:val="auto"/>
          <w:sz w:val="21"/>
          <w:szCs w:val="21"/>
          <w:highlight w:val="none"/>
        </w:rPr>
        <w:t>2、本保修书所称的质量缺陷是指</w:t>
      </w:r>
      <w:r>
        <w:rPr>
          <w:rFonts w:ascii="宋体" w:hAnsi="宋体" w:eastAsia="宋体"/>
          <w:color w:val="auto"/>
          <w:sz w:val="21"/>
          <w:szCs w:val="21"/>
          <w:highlight w:val="none"/>
          <w:u w:val="single"/>
        </w:rPr>
        <w:t>工程不符合国家或行业现行的有关强制性标准、施工验收规范、设计文件及合同中对工程质量的要求。</w:t>
      </w:r>
    </w:p>
    <w:p w14:paraId="40131695">
      <w:pPr>
        <w:pStyle w:val="271"/>
        <w:spacing w:line="360" w:lineRule="auto"/>
        <w:ind w:firstLine="312" w:firstLineChars="149"/>
        <w:contextualSpacing/>
        <w:rPr>
          <w:rFonts w:ascii="宋体" w:hAnsi="宋体" w:eastAsia="宋体"/>
          <w:b/>
          <w:color w:val="auto"/>
          <w:sz w:val="21"/>
          <w:szCs w:val="21"/>
          <w:highlight w:val="none"/>
        </w:rPr>
      </w:pPr>
      <w:r>
        <w:rPr>
          <w:rFonts w:ascii="宋体" w:hAnsi="宋体" w:eastAsia="宋体"/>
          <w:color w:val="auto"/>
          <w:sz w:val="21"/>
          <w:szCs w:val="21"/>
          <w:highlight w:val="none"/>
        </w:rPr>
        <w:t>3、本工程在保修期限内出现质量缺陷，发包人向承包人发出保修通知，承包人应当在接到保修通知之日起</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1</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天内派人保修。承包人不在约定时间内派人修理，发包人可以委托其他人员修理，</w:t>
      </w:r>
      <w:r>
        <w:rPr>
          <w:rFonts w:hint="eastAsia" w:ascii="宋体" w:hAnsi="宋体" w:eastAsia="宋体"/>
          <w:color w:val="auto"/>
          <w:sz w:val="21"/>
          <w:szCs w:val="21"/>
          <w:highlight w:val="none"/>
        </w:rPr>
        <w:t>由此发生的维修费用和各方损失由承包方承担</w:t>
      </w:r>
      <w:r>
        <w:rPr>
          <w:rFonts w:ascii="宋体" w:hAnsi="宋体" w:eastAsia="宋体"/>
          <w:color w:val="auto"/>
          <w:sz w:val="21"/>
          <w:szCs w:val="21"/>
          <w:highlight w:val="none"/>
        </w:rPr>
        <w:t>。</w:t>
      </w:r>
    </w:p>
    <w:p w14:paraId="1BC3814D">
      <w:pPr>
        <w:pStyle w:val="271"/>
        <w:spacing w:line="360" w:lineRule="auto"/>
        <w:ind w:firstLine="312" w:firstLineChars="149"/>
        <w:contextualSpacing/>
        <w:rPr>
          <w:rFonts w:ascii="宋体" w:hAnsi="宋体" w:eastAsia="宋体"/>
          <w:b/>
          <w:color w:val="auto"/>
          <w:sz w:val="21"/>
          <w:szCs w:val="21"/>
          <w:highlight w:val="none"/>
        </w:rPr>
      </w:pPr>
      <w:r>
        <w:rPr>
          <w:rFonts w:ascii="宋体" w:hAnsi="宋体" w:eastAsia="宋体"/>
          <w:color w:val="auto"/>
          <w:sz w:val="21"/>
          <w:szCs w:val="21"/>
          <w:highlight w:val="none"/>
        </w:rPr>
        <w:t>4、发生须紧急抢修事故，承包人接到事故通知后,应立即到达事故现场抢修。非承包人施工质量引起的事故，抢修费用由发包人承包。</w:t>
      </w:r>
    </w:p>
    <w:p w14:paraId="04A04FD2">
      <w:pPr>
        <w:pStyle w:val="271"/>
        <w:spacing w:line="360" w:lineRule="auto"/>
        <w:ind w:firstLine="312" w:firstLineChars="149"/>
        <w:contextualSpacing/>
        <w:rPr>
          <w:rFonts w:ascii="宋体" w:hAnsi="宋体" w:eastAsia="宋体"/>
          <w:b/>
          <w:color w:val="auto"/>
          <w:sz w:val="21"/>
          <w:szCs w:val="21"/>
          <w:highlight w:val="none"/>
        </w:rPr>
      </w:pPr>
      <w:r>
        <w:rPr>
          <w:rFonts w:ascii="宋体" w:hAnsi="宋体" w:eastAsia="宋体"/>
          <w:color w:val="auto"/>
          <w:sz w:val="21"/>
          <w:szCs w:val="21"/>
          <w:highlight w:val="none"/>
        </w:rPr>
        <w:t>5、质量保修期完成后，由发包人组织验收。</w:t>
      </w:r>
    </w:p>
    <w:p w14:paraId="022F9118">
      <w:pPr>
        <w:pStyle w:val="271"/>
        <w:spacing w:line="360" w:lineRule="auto"/>
        <w:ind w:firstLine="314" w:firstLineChars="149"/>
        <w:contextualSpacing/>
        <w:rPr>
          <w:rFonts w:ascii="宋体" w:hAnsi="宋体" w:eastAsia="宋体"/>
          <w:b/>
          <w:color w:val="auto"/>
          <w:sz w:val="21"/>
          <w:szCs w:val="21"/>
          <w:highlight w:val="none"/>
        </w:rPr>
      </w:pPr>
      <w:r>
        <w:rPr>
          <w:rFonts w:ascii="宋体" w:hAnsi="宋体" w:eastAsia="宋体"/>
          <w:b/>
          <w:color w:val="auto"/>
          <w:sz w:val="21"/>
          <w:szCs w:val="21"/>
          <w:highlight w:val="none"/>
        </w:rPr>
        <w:t>五、保修保证金的支付及保修费用</w:t>
      </w:r>
    </w:p>
    <w:p w14:paraId="26F6132C">
      <w:pPr>
        <w:pStyle w:val="271"/>
        <w:spacing w:line="360" w:lineRule="auto"/>
        <w:ind w:firstLine="420" w:firstLineChars="200"/>
        <w:contextualSpacing/>
        <w:rPr>
          <w:rFonts w:ascii="宋体" w:hAnsi="宋体" w:eastAsia="宋体"/>
          <w:color w:val="auto"/>
          <w:sz w:val="21"/>
          <w:szCs w:val="21"/>
          <w:highlight w:val="none"/>
        </w:rPr>
      </w:pPr>
      <w:r>
        <w:rPr>
          <w:rFonts w:ascii="宋体" w:hAnsi="宋体" w:eastAsia="宋体"/>
          <w:color w:val="auto"/>
          <w:sz w:val="21"/>
          <w:szCs w:val="21"/>
          <w:highlight w:val="none"/>
        </w:rPr>
        <w:t>1、工程质量保修金一般不超过施工合同价款的</w:t>
      </w:r>
      <w:r>
        <w:rPr>
          <w:rFonts w:ascii="宋体" w:hAnsi="宋体" w:eastAsia="宋体"/>
          <w:color w:val="auto"/>
          <w:sz w:val="21"/>
          <w:szCs w:val="21"/>
          <w:highlight w:val="none"/>
          <w:u w:val="single"/>
        </w:rPr>
        <w:t xml:space="preserve"> 3%</w:t>
      </w:r>
      <w:r>
        <w:rPr>
          <w:rFonts w:ascii="宋体" w:hAnsi="宋体" w:eastAsia="宋体"/>
          <w:color w:val="auto"/>
          <w:sz w:val="21"/>
          <w:szCs w:val="21"/>
          <w:highlight w:val="none"/>
        </w:rPr>
        <w:t>,本工程约定的工程质量保修金为施工结算价款的</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rPr>
        <w:t>。发包人在保修期满后</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天内无息退还承包人。</w:t>
      </w:r>
    </w:p>
    <w:p w14:paraId="386904C2">
      <w:pPr>
        <w:pStyle w:val="271"/>
        <w:spacing w:line="360" w:lineRule="auto"/>
        <w:ind w:firstLine="409" w:firstLineChars="195"/>
        <w:contextualSpacing/>
        <w:rPr>
          <w:rFonts w:ascii="宋体" w:hAnsi="宋体" w:eastAsia="宋体"/>
          <w:color w:val="auto"/>
          <w:sz w:val="21"/>
          <w:szCs w:val="21"/>
          <w:highlight w:val="none"/>
        </w:rPr>
      </w:pPr>
      <w:r>
        <w:rPr>
          <w:rFonts w:ascii="宋体" w:hAnsi="宋体" w:eastAsia="宋体"/>
          <w:color w:val="auto"/>
          <w:sz w:val="21"/>
          <w:szCs w:val="21"/>
          <w:highlight w:val="none"/>
        </w:rPr>
        <w:t>2、在本工程保修范围和保修期限内发生的质量问题，由承包人义务保修，并对造成的损失承担赔偿责任</w:t>
      </w:r>
      <w:r>
        <w:rPr>
          <w:rFonts w:hint="eastAsia" w:ascii="宋体" w:hAnsi="宋体" w:eastAsia="宋体"/>
          <w:color w:val="auto"/>
          <w:sz w:val="21"/>
          <w:szCs w:val="21"/>
          <w:highlight w:val="none"/>
        </w:rPr>
        <w:t>。</w:t>
      </w:r>
    </w:p>
    <w:p w14:paraId="423429A5">
      <w:pPr>
        <w:pStyle w:val="271"/>
        <w:spacing w:line="360" w:lineRule="auto"/>
        <w:ind w:firstLine="310" w:firstLineChars="147"/>
        <w:contextualSpacing/>
        <w:rPr>
          <w:rFonts w:ascii="宋体" w:hAnsi="宋体" w:eastAsia="宋体"/>
          <w:b/>
          <w:color w:val="auto"/>
          <w:sz w:val="21"/>
          <w:szCs w:val="21"/>
          <w:highlight w:val="none"/>
        </w:rPr>
      </w:pPr>
      <w:r>
        <w:rPr>
          <w:rFonts w:ascii="宋体" w:hAnsi="宋体" w:eastAsia="宋体"/>
          <w:b/>
          <w:color w:val="auto"/>
          <w:sz w:val="21"/>
          <w:szCs w:val="21"/>
          <w:highlight w:val="none"/>
        </w:rPr>
        <w:t>六、其他</w:t>
      </w:r>
    </w:p>
    <w:p w14:paraId="0D6D597E">
      <w:pPr>
        <w:pStyle w:val="271"/>
        <w:spacing w:line="360" w:lineRule="auto"/>
        <w:ind w:firstLine="308" w:firstLineChars="147"/>
        <w:contextualSpacing/>
        <w:rPr>
          <w:rFonts w:ascii="宋体" w:hAnsi="宋体" w:eastAsia="宋体"/>
          <w:color w:val="auto"/>
          <w:sz w:val="21"/>
          <w:szCs w:val="21"/>
          <w:highlight w:val="none"/>
        </w:rPr>
      </w:pPr>
      <w:r>
        <w:rPr>
          <w:rFonts w:ascii="宋体" w:hAnsi="宋体" w:eastAsia="宋体"/>
          <w:color w:val="auto"/>
          <w:sz w:val="21"/>
          <w:szCs w:val="21"/>
          <w:highlight w:val="none"/>
        </w:rPr>
        <w:t>双方约定的其他工程质量保修事项：</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w:t>
      </w:r>
    </w:p>
    <w:p w14:paraId="554FFDC1">
      <w:pPr>
        <w:pStyle w:val="271"/>
        <w:spacing w:line="360" w:lineRule="auto"/>
        <w:ind w:firstLine="399" w:firstLineChars="190"/>
        <w:contextualSpacing/>
        <w:rPr>
          <w:rFonts w:ascii="宋体" w:hAnsi="宋体" w:eastAsia="宋体"/>
          <w:color w:val="auto"/>
          <w:sz w:val="21"/>
          <w:szCs w:val="21"/>
          <w:highlight w:val="none"/>
        </w:rPr>
      </w:pPr>
      <w:r>
        <w:rPr>
          <w:rFonts w:ascii="宋体" w:hAnsi="宋体" w:eastAsia="宋体"/>
          <w:color w:val="auto"/>
          <w:sz w:val="21"/>
          <w:szCs w:val="21"/>
          <w:highlight w:val="none"/>
        </w:rPr>
        <w:t>本工程质量保修书，由施工合同发包人、承包人双方在竣工验收前共同签署，作为施工合同附件，其有效期自订立时间起至保修期限满。</w:t>
      </w:r>
    </w:p>
    <w:p w14:paraId="34D0247E">
      <w:pPr>
        <w:pStyle w:val="271"/>
        <w:spacing w:line="360" w:lineRule="auto"/>
        <w:ind w:firstLine="420"/>
        <w:rPr>
          <w:rFonts w:ascii="宋体" w:hAnsi="宋体" w:eastAsia="宋体"/>
          <w:color w:val="auto"/>
          <w:sz w:val="21"/>
          <w:szCs w:val="21"/>
          <w:highlight w:val="none"/>
        </w:rPr>
      </w:pPr>
    </w:p>
    <w:p w14:paraId="3D2150C8">
      <w:pPr>
        <w:pStyle w:val="271"/>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发包人(公章)：</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承包人(公章)：</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p>
    <w:p w14:paraId="489C29DF">
      <w:pPr>
        <w:pStyle w:val="271"/>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地  址：</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地  址：</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p>
    <w:p w14:paraId="191A5CD7">
      <w:pPr>
        <w:pStyle w:val="271"/>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法定代表人(签字</w:t>
      </w:r>
      <w:r>
        <w:rPr>
          <w:rFonts w:hint="eastAsia" w:ascii="宋体" w:hAnsi="宋体"/>
          <w:color w:val="auto"/>
          <w:sz w:val="21"/>
          <w:szCs w:val="21"/>
          <w:highlight w:val="none"/>
          <w:lang w:val="en-US" w:eastAsia="zh-CN"/>
        </w:rPr>
        <w:t>或盖章</w:t>
      </w:r>
      <w:r>
        <w:rPr>
          <w:rFonts w:ascii="宋体" w:hAnsi="宋体" w:eastAsia="宋体"/>
          <w:color w:val="auto"/>
          <w:sz w:val="21"/>
          <w:szCs w:val="21"/>
          <w:highlight w:val="none"/>
        </w:rPr>
        <w:t>)：</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 法定代表人(签字</w:t>
      </w:r>
      <w:r>
        <w:rPr>
          <w:rFonts w:hint="eastAsia" w:ascii="宋体" w:hAnsi="宋体"/>
          <w:color w:val="auto"/>
          <w:sz w:val="21"/>
          <w:szCs w:val="21"/>
          <w:highlight w:val="none"/>
          <w:lang w:val="en-US" w:eastAsia="zh-CN"/>
        </w:rPr>
        <w:t>或盖章</w:t>
      </w:r>
      <w:r>
        <w:rPr>
          <w:rFonts w:ascii="宋体" w:hAnsi="宋体" w:eastAsia="宋体"/>
          <w:color w:val="auto"/>
          <w:sz w:val="21"/>
          <w:szCs w:val="21"/>
          <w:highlight w:val="none"/>
        </w:rPr>
        <w:t>)：</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p>
    <w:p w14:paraId="7AFCCC4D">
      <w:pPr>
        <w:pStyle w:val="271"/>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委托代理人(签字)：</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 委托代理人(签字)：</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p>
    <w:p w14:paraId="61A9197D">
      <w:pPr>
        <w:pStyle w:val="271"/>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电  话：</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电  话：</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p>
    <w:p w14:paraId="71C1BA01">
      <w:pPr>
        <w:pStyle w:val="271"/>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传  真：</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传  真：</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p>
    <w:p w14:paraId="55B9A819">
      <w:pPr>
        <w:pStyle w:val="271"/>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开户银行：</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 开户银行：</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p>
    <w:p w14:paraId="4CFFBDFC">
      <w:pPr>
        <w:pStyle w:val="271"/>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账  号：</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账</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号：</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p>
    <w:p w14:paraId="3A261079">
      <w:pPr>
        <w:pStyle w:val="271"/>
        <w:spacing w:line="360" w:lineRule="auto"/>
        <w:rPr>
          <w:rFonts w:ascii="宋体" w:hAnsi="宋体" w:eastAsia="宋体"/>
          <w:color w:val="auto"/>
          <w:sz w:val="21"/>
          <w:szCs w:val="21"/>
          <w:highlight w:val="none"/>
          <w:u w:val="single"/>
        </w:rPr>
      </w:pPr>
      <w:r>
        <w:rPr>
          <w:rFonts w:ascii="宋体" w:hAnsi="宋体" w:eastAsia="宋体"/>
          <w:color w:val="auto"/>
          <w:sz w:val="21"/>
          <w:szCs w:val="21"/>
          <w:highlight w:val="none"/>
        </w:rPr>
        <w:t>邮政编码：</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 邮政编码：</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p>
    <w:p w14:paraId="7550C6EE">
      <w:pPr>
        <w:pStyle w:val="271"/>
        <w:spacing w:line="440" w:lineRule="exact"/>
        <w:rPr>
          <w:rFonts w:ascii="宋体" w:hAnsi="宋体"/>
          <w:b/>
          <w:color w:val="auto"/>
          <w:sz w:val="21"/>
          <w:szCs w:val="21"/>
          <w:highlight w:val="none"/>
        </w:rPr>
      </w:pPr>
      <w:r>
        <w:rPr>
          <w:rFonts w:ascii="仿宋_GB2312" w:eastAsia="仿宋_GB2312"/>
          <w:color w:val="auto"/>
          <w:sz w:val="30"/>
          <w:szCs w:val="30"/>
          <w:highlight w:val="none"/>
        </w:rPr>
        <w:br w:type="page" w:clear="all"/>
      </w:r>
      <w:r>
        <w:rPr>
          <w:rFonts w:ascii="宋体" w:hAnsi="宋体"/>
          <w:b/>
          <w:color w:val="auto"/>
          <w:sz w:val="21"/>
          <w:szCs w:val="21"/>
          <w:highlight w:val="none"/>
        </w:rPr>
        <w:t>附</w:t>
      </w:r>
      <w:bookmarkStart w:id="527" w:name="_Toc296944567"/>
      <w:bookmarkStart w:id="528" w:name="_Toc296503228"/>
      <w:bookmarkStart w:id="529" w:name="_Toc296891056"/>
      <w:bookmarkStart w:id="530" w:name="_Toc296891268"/>
      <w:bookmarkStart w:id="531" w:name="_Toc296347227"/>
      <w:bookmarkStart w:id="532" w:name="_Toc296346729"/>
      <w:bookmarkStart w:id="533" w:name="_Toc267261699"/>
      <w:r>
        <w:rPr>
          <w:rFonts w:ascii="宋体" w:hAnsi="宋体"/>
          <w:b/>
          <w:color w:val="auto"/>
          <w:sz w:val="21"/>
          <w:szCs w:val="21"/>
          <w:highlight w:val="none"/>
        </w:rPr>
        <w:t>件</w:t>
      </w:r>
      <w:r>
        <w:rPr>
          <w:rFonts w:hint="eastAsia" w:ascii="宋体" w:hAnsi="宋体"/>
          <w:b/>
          <w:color w:val="auto"/>
          <w:sz w:val="21"/>
          <w:szCs w:val="21"/>
          <w:highlight w:val="none"/>
          <w:lang w:val="en-US" w:eastAsia="zh-CN"/>
        </w:rPr>
        <w:t>2</w:t>
      </w:r>
      <w:r>
        <w:rPr>
          <w:rFonts w:ascii="宋体" w:hAnsi="宋体"/>
          <w:b/>
          <w:color w:val="auto"/>
          <w:sz w:val="21"/>
          <w:szCs w:val="21"/>
          <w:highlight w:val="none"/>
        </w:rPr>
        <w:t>：</w:t>
      </w:r>
      <w:bookmarkEnd w:id="527"/>
      <w:bookmarkEnd w:id="528"/>
      <w:bookmarkEnd w:id="529"/>
      <w:bookmarkEnd w:id="530"/>
      <w:bookmarkEnd w:id="531"/>
      <w:bookmarkEnd w:id="532"/>
      <w:bookmarkEnd w:id="533"/>
    </w:p>
    <w:p w14:paraId="3623A917">
      <w:pPr>
        <w:pStyle w:val="271"/>
        <w:spacing w:line="440" w:lineRule="exact"/>
        <w:jc w:val="center"/>
        <w:rPr>
          <w:rFonts w:ascii="宋体" w:hAnsi="宋体"/>
          <w:b/>
          <w:color w:val="auto"/>
          <w:highlight w:val="none"/>
        </w:rPr>
      </w:pPr>
      <w:r>
        <w:rPr>
          <w:rFonts w:hint="eastAsia" w:ascii="宋体" w:hAnsi="宋体"/>
          <w:b/>
          <w:color w:val="auto"/>
          <w:sz w:val="24"/>
          <w:szCs w:val="24"/>
          <w:highlight w:val="none"/>
        </w:rPr>
        <w:t>承包方</w:t>
      </w:r>
      <w:r>
        <w:rPr>
          <w:rFonts w:ascii="宋体" w:hAnsi="宋体"/>
          <w:b/>
          <w:color w:val="auto"/>
          <w:sz w:val="24"/>
          <w:szCs w:val="24"/>
          <w:highlight w:val="none"/>
        </w:rPr>
        <w:t>主要施工管理人员表</w:t>
      </w:r>
    </w:p>
    <w:tbl>
      <w:tblPr>
        <w:tblStyle w:val="4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44DDD0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single" w:color="auto" w:sz="6" w:space="0"/>
            </w:tcBorders>
            <w:noWrap/>
            <w:vAlign w:val="center"/>
          </w:tcPr>
          <w:p w14:paraId="0C0A9A25">
            <w:pPr>
              <w:pStyle w:val="277"/>
              <w:keepNext/>
              <w:spacing w:line="440" w:lineRule="exact"/>
              <w:ind w:left="63" w:right="63"/>
              <w:jc w:val="center"/>
              <w:rPr>
                <w:rFonts w:ascii="宋体" w:hAnsi="宋体"/>
                <w:color w:val="auto"/>
                <w:sz w:val="21"/>
                <w:szCs w:val="21"/>
                <w:highlight w:val="none"/>
              </w:rPr>
            </w:pPr>
            <w:r>
              <w:rPr>
                <w:rFonts w:ascii="宋体" w:hAnsi="宋体"/>
                <w:color w:val="auto"/>
                <w:sz w:val="21"/>
                <w:szCs w:val="21"/>
                <w:highlight w:val="none"/>
              </w:rPr>
              <w:t>名    称</w:t>
            </w:r>
          </w:p>
        </w:tc>
        <w:tc>
          <w:tcPr>
            <w:tcW w:w="1418" w:type="dxa"/>
            <w:tcBorders>
              <w:top w:val="single" w:color="auto" w:sz="12" w:space="0"/>
              <w:bottom w:val="single" w:color="auto" w:sz="6" w:space="0"/>
            </w:tcBorders>
            <w:noWrap/>
            <w:vAlign w:val="center"/>
          </w:tcPr>
          <w:p w14:paraId="532F232D">
            <w:pPr>
              <w:pStyle w:val="277"/>
              <w:keepNext/>
              <w:spacing w:line="440" w:lineRule="exact"/>
              <w:ind w:left="63" w:right="63"/>
              <w:jc w:val="center"/>
              <w:rPr>
                <w:rFonts w:ascii="宋体" w:hAnsi="宋体"/>
                <w:color w:val="auto"/>
                <w:sz w:val="21"/>
                <w:szCs w:val="21"/>
                <w:highlight w:val="none"/>
              </w:rPr>
            </w:pPr>
            <w:r>
              <w:rPr>
                <w:rFonts w:ascii="宋体" w:hAnsi="宋体"/>
                <w:color w:val="auto"/>
                <w:sz w:val="21"/>
                <w:szCs w:val="21"/>
                <w:highlight w:val="none"/>
              </w:rPr>
              <w:t>姓名</w:t>
            </w:r>
          </w:p>
        </w:tc>
        <w:tc>
          <w:tcPr>
            <w:tcW w:w="1134" w:type="dxa"/>
            <w:tcBorders>
              <w:top w:val="single" w:color="auto" w:sz="12" w:space="0"/>
              <w:bottom w:val="single" w:color="auto" w:sz="6" w:space="0"/>
            </w:tcBorders>
            <w:noWrap/>
            <w:vAlign w:val="center"/>
          </w:tcPr>
          <w:p w14:paraId="78F9E668">
            <w:pPr>
              <w:pStyle w:val="277"/>
              <w:keepNext/>
              <w:spacing w:line="440" w:lineRule="exact"/>
              <w:ind w:left="63" w:right="63"/>
              <w:jc w:val="center"/>
              <w:rPr>
                <w:rFonts w:ascii="宋体" w:hAnsi="宋体"/>
                <w:color w:val="auto"/>
                <w:sz w:val="21"/>
                <w:szCs w:val="21"/>
                <w:highlight w:val="none"/>
              </w:rPr>
            </w:pPr>
            <w:r>
              <w:rPr>
                <w:rFonts w:ascii="宋体" w:hAnsi="宋体"/>
                <w:color w:val="auto"/>
                <w:sz w:val="21"/>
                <w:szCs w:val="21"/>
                <w:highlight w:val="none"/>
              </w:rPr>
              <w:t>职务</w:t>
            </w:r>
          </w:p>
        </w:tc>
        <w:tc>
          <w:tcPr>
            <w:tcW w:w="1134" w:type="dxa"/>
            <w:tcBorders>
              <w:top w:val="single" w:color="auto" w:sz="12" w:space="0"/>
              <w:bottom w:val="single" w:color="auto" w:sz="6" w:space="0"/>
            </w:tcBorders>
            <w:noWrap/>
            <w:vAlign w:val="center"/>
          </w:tcPr>
          <w:p w14:paraId="78E0D9B1">
            <w:pPr>
              <w:pStyle w:val="277"/>
              <w:keepNext/>
              <w:spacing w:line="440" w:lineRule="exact"/>
              <w:ind w:left="63" w:right="63"/>
              <w:jc w:val="center"/>
              <w:rPr>
                <w:rFonts w:ascii="宋体" w:hAnsi="宋体"/>
                <w:color w:val="auto"/>
                <w:sz w:val="21"/>
                <w:szCs w:val="21"/>
                <w:highlight w:val="none"/>
              </w:rPr>
            </w:pPr>
            <w:r>
              <w:rPr>
                <w:rFonts w:ascii="宋体" w:hAnsi="宋体"/>
                <w:color w:val="auto"/>
                <w:sz w:val="21"/>
                <w:szCs w:val="21"/>
                <w:highlight w:val="none"/>
              </w:rPr>
              <w:t>职称</w:t>
            </w:r>
          </w:p>
        </w:tc>
        <w:tc>
          <w:tcPr>
            <w:tcW w:w="4252" w:type="dxa"/>
            <w:tcBorders>
              <w:top w:val="single" w:color="auto" w:sz="12" w:space="0"/>
              <w:bottom w:val="single" w:color="auto" w:sz="6" w:space="0"/>
            </w:tcBorders>
            <w:noWrap/>
            <w:vAlign w:val="center"/>
          </w:tcPr>
          <w:p w14:paraId="2A85F5BA">
            <w:pPr>
              <w:pStyle w:val="277"/>
              <w:keepNext/>
              <w:spacing w:line="440" w:lineRule="exact"/>
              <w:ind w:left="63" w:right="63"/>
              <w:jc w:val="center"/>
              <w:rPr>
                <w:rFonts w:ascii="宋体" w:hAnsi="宋体"/>
                <w:color w:val="auto"/>
                <w:sz w:val="21"/>
                <w:szCs w:val="21"/>
                <w:highlight w:val="none"/>
              </w:rPr>
            </w:pPr>
            <w:r>
              <w:rPr>
                <w:rFonts w:ascii="宋体" w:hAnsi="宋体"/>
                <w:color w:val="auto"/>
                <w:sz w:val="21"/>
                <w:szCs w:val="21"/>
                <w:highlight w:val="none"/>
              </w:rPr>
              <w:t>主要资历、经验及承担过的项目</w:t>
            </w:r>
          </w:p>
        </w:tc>
      </w:tr>
      <w:tr w14:paraId="374E2D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ign w:val="center"/>
          </w:tcPr>
          <w:p w14:paraId="74EAC8A4">
            <w:pPr>
              <w:pStyle w:val="277"/>
              <w:keepNext/>
              <w:spacing w:line="440" w:lineRule="exact"/>
              <w:ind w:left="63" w:right="63"/>
              <w:rPr>
                <w:rFonts w:ascii="宋体" w:hAnsi="宋体"/>
                <w:color w:val="auto"/>
                <w:sz w:val="21"/>
                <w:szCs w:val="21"/>
                <w:highlight w:val="none"/>
              </w:rPr>
            </w:pPr>
            <w:r>
              <w:rPr>
                <w:rFonts w:ascii="宋体" w:hAnsi="宋体"/>
                <w:color w:val="auto"/>
                <w:sz w:val="21"/>
                <w:szCs w:val="21"/>
                <w:highlight w:val="none"/>
              </w:rPr>
              <w:t>一、总部人员</w:t>
            </w:r>
          </w:p>
        </w:tc>
      </w:tr>
      <w:tr w14:paraId="6C5328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ign w:val="center"/>
          </w:tcPr>
          <w:p w14:paraId="7D934D17">
            <w:pPr>
              <w:pStyle w:val="277"/>
              <w:keepNext/>
              <w:spacing w:line="440" w:lineRule="exact"/>
              <w:ind w:left="63" w:right="63"/>
              <w:jc w:val="center"/>
              <w:rPr>
                <w:rFonts w:ascii="宋体" w:hAnsi="宋体"/>
                <w:color w:val="auto"/>
                <w:sz w:val="21"/>
                <w:szCs w:val="21"/>
                <w:highlight w:val="none"/>
              </w:rPr>
            </w:pPr>
            <w:r>
              <w:rPr>
                <w:rFonts w:ascii="宋体" w:hAnsi="宋体"/>
                <w:color w:val="auto"/>
                <w:sz w:val="21"/>
                <w:szCs w:val="21"/>
                <w:highlight w:val="none"/>
              </w:rPr>
              <w:t>项目主管</w:t>
            </w:r>
          </w:p>
        </w:tc>
        <w:tc>
          <w:tcPr>
            <w:tcW w:w="1418" w:type="dxa"/>
            <w:tcBorders>
              <w:top w:val="nil"/>
            </w:tcBorders>
            <w:noWrap/>
            <w:vAlign w:val="center"/>
          </w:tcPr>
          <w:p w14:paraId="614D5A5E">
            <w:pPr>
              <w:pStyle w:val="277"/>
              <w:keepNext/>
              <w:spacing w:line="440" w:lineRule="exact"/>
              <w:ind w:left="63" w:right="63"/>
              <w:rPr>
                <w:rFonts w:ascii="宋体" w:hAnsi="宋体"/>
                <w:color w:val="auto"/>
                <w:sz w:val="21"/>
                <w:szCs w:val="21"/>
                <w:highlight w:val="none"/>
              </w:rPr>
            </w:pPr>
          </w:p>
        </w:tc>
        <w:tc>
          <w:tcPr>
            <w:tcW w:w="1134" w:type="dxa"/>
            <w:tcBorders>
              <w:top w:val="nil"/>
            </w:tcBorders>
            <w:noWrap/>
            <w:vAlign w:val="center"/>
          </w:tcPr>
          <w:p w14:paraId="6CCFA3D0">
            <w:pPr>
              <w:pStyle w:val="277"/>
              <w:keepNext/>
              <w:spacing w:line="440" w:lineRule="exact"/>
              <w:ind w:left="63" w:right="63"/>
              <w:rPr>
                <w:rFonts w:ascii="宋体" w:hAnsi="宋体"/>
                <w:color w:val="auto"/>
                <w:sz w:val="21"/>
                <w:szCs w:val="21"/>
                <w:highlight w:val="none"/>
              </w:rPr>
            </w:pPr>
          </w:p>
        </w:tc>
        <w:tc>
          <w:tcPr>
            <w:tcW w:w="1134" w:type="dxa"/>
            <w:tcBorders>
              <w:top w:val="nil"/>
            </w:tcBorders>
            <w:noWrap/>
            <w:vAlign w:val="center"/>
          </w:tcPr>
          <w:p w14:paraId="2DEB92D1">
            <w:pPr>
              <w:pStyle w:val="277"/>
              <w:keepNext/>
              <w:spacing w:line="440" w:lineRule="exact"/>
              <w:ind w:left="63" w:right="63"/>
              <w:rPr>
                <w:rFonts w:ascii="宋体" w:hAnsi="宋体"/>
                <w:color w:val="auto"/>
                <w:sz w:val="21"/>
                <w:szCs w:val="21"/>
                <w:highlight w:val="none"/>
              </w:rPr>
            </w:pPr>
          </w:p>
        </w:tc>
        <w:tc>
          <w:tcPr>
            <w:tcW w:w="4252" w:type="dxa"/>
            <w:tcBorders>
              <w:top w:val="nil"/>
            </w:tcBorders>
            <w:noWrap/>
            <w:vAlign w:val="center"/>
          </w:tcPr>
          <w:p w14:paraId="79918D10">
            <w:pPr>
              <w:pStyle w:val="277"/>
              <w:keepNext/>
              <w:spacing w:line="440" w:lineRule="exact"/>
              <w:ind w:left="63" w:right="63"/>
              <w:rPr>
                <w:rFonts w:ascii="宋体" w:hAnsi="宋体"/>
                <w:color w:val="auto"/>
                <w:sz w:val="21"/>
                <w:szCs w:val="21"/>
                <w:highlight w:val="none"/>
              </w:rPr>
            </w:pPr>
          </w:p>
        </w:tc>
      </w:tr>
      <w:tr w14:paraId="7D8268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ign w:val="center"/>
          </w:tcPr>
          <w:p w14:paraId="51ADA428">
            <w:pPr>
              <w:pStyle w:val="277"/>
              <w:keepNext/>
              <w:spacing w:line="440" w:lineRule="exact"/>
              <w:ind w:left="63" w:right="63"/>
              <w:jc w:val="center"/>
              <w:rPr>
                <w:rFonts w:ascii="宋体" w:hAnsi="宋体"/>
                <w:color w:val="auto"/>
                <w:sz w:val="21"/>
                <w:szCs w:val="21"/>
                <w:highlight w:val="none"/>
              </w:rPr>
            </w:pPr>
          </w:p>
        </w:tc>
        <w:tc>
          <w:tcPr>
            <w:tcW w:w="1418" w:type="dxa"/>
            <w:noWrap/>
            <w:vAlign w:val="center"/>
          </w:tcPr>
          <w:p w14:paraId="407CEF7F">
            <w:pPr>
              <w:pStyle w:val="277"/>
              <w:keepNext/>
              <w:spacing w:line="440" w:lineRule="exact"/>
              <w:ind w:left="63" w:right="63"/>
              <w:rPr>
                <w:rFonts w:ascii="宋体" w:hAnsi="宋体"/>
                <w:color w:val="auto"/>
                <w:sz w:val="21"/>
                <w:szCs w:val="21"/>
                <w:highlight w:val="none"/>
              </w:rPr>
            </w:pPr>
          </w:p>
        </w:tc>
        <w:tc>
          <w:tcPr>
            <w:tcW w:w="1134" w:type="dxa"/>
            <w:noWrap/>
            <w:vAlign w:val="center"/>
          </w:tcPr>
          <w:p w14:paraId="220975A3">
            <w:pPr>
              <w:pStyle w:val="277"/>
              <w:keepNext/>
              <w:spacing w:line="440" w:lineRule="exact"/>
              <w:ind w:left="63" w:right="63"/>
              <w:rPr>
                <w:rFonts w:ascii="宋体" w:hAnsi="宋体"/>
                <w:color w:val="auto"/>
                <w:sz w:val="21"/>
                <w:szCs w:val="21"/>
                <w:highlight w:val="none"/>
              </w:rPr>
            </w:pPr>
          </w:p>
        </w:tc>
        <w:tc>
          <w:tcPr>
            <w:tcW w:w="1134" w:type="dxa"/>
            <w:noWrap/>
            <w:vAlign w:val="center"/>
          </w:tcPr>
          <w:p w14:paraId="229FCCFF">
            <w:pPr>
              <w:pStyle w:val="277"/>
              <w:keepNext/>
              <w:spacing w:line="440" w:lineRule="exact"/>
              <w:ind w:left="63" w:right="63"/>
              <w:rPr>
                <w:rFonts w:ascii="宋体" w:hAnsi="宋体"/>
                <w:color w:val="auto"/>
                <w:sz w:val="21"/>
                <w:szCs w:val="21"/>
                <w:highlight w:val="none"/>
              </w:rPr>
            </w:pPr>
          </w:p>
        </w:tc>
        <w:tc>
          <w:tcPr>
            <w:tcW w:w="4252" w:type="dxa"/>
            <w:noWrap/>
            <w:vAlign w:val="center"/>
          </w:tcPr>
          <w:p w14:paraId="76AF2887">
            <w:pPr>
              <w:pStyle w:val="277"/>
              <w:keepNext/>
              <w:spacing w:line="440" w:lineRule="exact"/>
              <w:ind w:left="63" w:right="63"/>
              <w:rPr>
                <w:rFonts w:ascii="宋体" w:hAnsi="宋体"/>
                <w:color w:val="auto"/>
                <w:sz w:val="21"/>
                <w:szCs w:val="21"/>
                <w:highlight w:val="none"/>
              </w:rPr>
            </w:pPr>
          </w:p>
        </w:tc>
      </w:tr>
      <w:tr w14:paraId="3665A7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ign w:val="center"/>
          </w:tcPr>
          <w:p w14:paraId="66CC36BF">
            <w:pPr>
              <w:pStyle w:val="277"/>
              <w:keepNext/>
              <w:spacing w:line="440" w:lineRule="exact"/>
              <w:ind w:left="63" w:right="63"/>
              <w:jc w:val="center"/>
              <w:rPr>
                <w:rFonts w:ascii="宋体" w:hAnsi="宋体"/>
                <w:color w:val="auto"/>
                <w:sz w:val="21"/>
                <w:szCs w:val="21"/>
                <w:highlight w:val="none"/>
              </w:rPr>
            </w:pPr>
            <w:r>
              <w:rPr>
                <w:rFonts w:ascii="宋体" w:hAnsi="宋体"/>
                <w:color w:val="auto"/>
                <w:sz w:val="21"/>
                <w:szCs w:val="21"/>
                <w:highlight w:val="none"/>
              </w:rPr>
              <w:t>其他人员</w:t>
            </w:r>
          </w:p>
        </w:tc>
        <w:tc>
          <w:tcPr>
            <w:tcW w:w="1418" w:type="dxa"/>
            <w:noWrap/>
            <w:vAlign w:val="center"/>
          </w:tcPr>
          <w:p w14:paraId="2EE65775">
            <w:pPr>
              <w:pStyle w:val="277"/>
              <w:keepNext/>
              <w:spacing w:line="440" w:lineRule="exact"/>
              <w:ind w:left="63" w:right="63"/>
              <w:rPr>
                <w:rFonts w:ascii="宋体" w:hAnsi="宋体"/>
                <w:color w:val="auto"/>
                <w:sz w:val="21"/>
                <w:szCs w:val="21"/>
                <w:highlight w:val="none"/>
              </w:rPr>
            </w:pPr>
          </w:p>
        </w:tc>
        <w:tc>
          <w:tcPr>
            <w:tcW w:w="1134" w:type="dxa"/>
            <w:noWrap/>
            <w:vAlign w:val="center"/>
          </w:tcPr>
          <w:p w14:paraId="34235E00">
            <w:pPr>
              <w:pStyle w:val="277"/>
              <w:keepNext/>
              <w:spacing w:line="440" w:lineRule="exact"/>
              <w:ind w:left="63" w:right="63"/>
              <w:rPr>
                <w:rFonts w:ascii="宋体" w:hAnsi="宋体"/>
                <w:color w:val="auto"/>
                <w:sz w:val="21"/>
                <w:szCs w:val="21"/>
                <w:highlight w:val="none"/>
              </w:rPr>
            </w:pPr>
          </w:p>
        </w:tc>
        <w:tc>
          <w:tcPr>
            <w:tcW w:w="1134" w:type="dxa"/>
            <w:noWrap/>
            <w:vAlign w:val="center"/>
          </w:tcPr>
          <w:p w14:paraId="24ED2E10">
            <w:pPr>
              <w:pStyle w:val="277"/>
              <w:keepNext/>
              <w:spacing w:line="440" w:lineRule="exact"/>
              <w:ind w:left="63" w:right="63"/>
              <w:rPr>
                <w:rFonts w:ascii="宋体" w:hAnsi="宋体"/>
                <w:color w:val="auto"/>
                <w:sz w:val="21"/>
                <w:szCs w:val="21"/>
                <w:highlight w:val="none"/>
              </w:rPr>
            </w:pPr>
          </w:p>
        </w:tc>
        <w:tc>
          <w:tcPr>
            <w:tcW w:w="4252" w:type="dxa"/>
            <w:noWrap/>
            <w:vAlign w:val="center"/>
          </w:tcPr>
          <w:p w14:paraId="1150C6F8">
            <w:pPr>
              <w:pStyle w:val="277"/>
              <w:keepNext/>
              <w:spacing w:line="440" w:lineRule="exact"/>
              <w:ind w:left="63" w:right="63"/>
              <w:rPr>
                <w:rFonts w:ascii="宋体" w:hAnsi="宋体"/>
                <w:color w:val="auto"/>
                <w:sz w:val="21"/>
                <w:szCs w:val="21"/>
                <w:highlight w:val="none"/>
              </w:rPr>
            </w:pPr>
          </w:p>
        </w:tc>
      </w:tr>
      <w:tr w14:paraId="7736C2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ign w:val="center"/>
          </w:tcPr>
          <w:p w14:paraId="46E477AD">
            <w:pPr>
              <w:pStyle w:val="277"/>
              <w:keepNext/>
              <w:spacing w:line="440" w:lineRule="exact"/>
              <w:ind w:left="63" w:right="63"/>
              <w:jc w:val="center"/>
              <w:rPr>
                <w:rFonts w:ascii="宋体" w:hAnsi="宋体"/>
                <w:color w:val="auto"/>
                <w:sz w:val="21"/>
                <w:szCs w:val="21"/>
                <w:highlight w:val="none"/>
              </w:rPr>
            </w:pPr>
          </w:p>
        </w:tc>
        <w:tc>
          <w:tcPr>
            <w:tcW w:w="1418" w:type="dxa"/>
            <w:noWrap/>
            <w:vAlign w:val="center"/>
          </w:tcPr>
          <w:p w14:paraId="44712F04">
            <w:pPr>
              <w:pStyle w:val="277"/>
              <w:keepNext/>
              <w:spacing w:line="440" w:lineRule="exact"/>
              <w:ind w:left="63" w:right="63"/>
              <w:rPr>
                <w:rFonts w:ascii="宋体" w:hAnsi="宋体"/>
                <w:color w:val="auto"/>
                <w:sz w:val="21"/>
                <w:szCs w:val="21"/>
                <w:highlight w:val="none"/>
              </w:rPr>
            </w:pPr>
          </w:p>
        </w:tc>
        <w:tc>
          <w:tcPr>
            <w:tcW w:w="1134" w:type="dxa"/>
            <w:noWrap/>
            <w:vAlign w:val="center"/>
          </w:tcPr>
          <w:p w14:paraId="3579D476">
            <w:pPr>
              <w:pStyle w:val="277"/>
              <w:keepNext/>
              <w:spacing w:line="440" w:lineRule="exact"/>
              <w:ind w:left="63" w:right="63"/>
              <w:rPr>
                <w:rFonts w:ascii="宋体" w:hAnsi="宋体"/>
                <w:color w:val="auto"/>
                <w:sz w:val="21"/>
                <w:szCs w:val="21"/>
                <w:highlight w:val="none"/>
              </w:rPr>
            </w:pPr>
          </w:p>
        </w:tc>
        <w:tc>
          <w:tcPr>
            <w:tcW w:w="1134" w:type="dxa"/>
            <w:noWrap/>
            <w:vAlign w:val="center"/>
          </w:tcPr>
          <w:p w14:paraId="4B440123">
            <w:pPr>
              <w:pStyle w:val="277"/>
              <w:keepNext/>
              <w:spacing w:line="440" w:lineRule="exact"/>
              <w:ind w:left="63" w:right="63"/>
              <w:rPr>
                <w:rFonts w:ascii="宋体" w:hAnsi="宋体"/>
                <w:color w:val="auto"/>
                <w:sz w:val="21"/>
                <w:szCs w:val="21"/>
                <w:highlight w:val="none"/>
              </w:rPr>
            </w:pPr>
          </w:p>
        </w:tc>
        <w:tc>
          <w:tcPr>
            <w:tcW w:w="4252" w:type="dxa"/>
            <w:noWrap/>
            <w:vAlign w:val="center"/>
          </w:tcPr>
          <w:p w14:paraId="1E3399F0">
            <w:pPr>
              <w:pStyle w:val="277"/>
              <w:keepNext/>
              <w:spacing w:line="440" w:lineRule="exact"/>
              <w:ind w:left="63" w:right="63"/>
              <w:rPr>
                <w:rFonts w:ascii="宋体" w:hAnsi="宋体"/>
                <w:color w:val="auto"/>
                <w:sz w:val="21"/>
                <w:szCs w:val="21"/>
                <w:highlight w:val="none"/>
              </w:rPr>
            </w:pPr>
          </w:p>
        </w:tc>
      </w:tr>
      <w:tr w14:paraId="48E6AA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ign w:val="center"/>
          </w:tcPr>
          <w:p w14:paraId="2068D019">
            <w:pPr>
              <w:pStyle w:val="277"/>
              <w:keepNext/>
              <w:spacing w:line="440" w:lineRule="exact"/>
              <w:ind w:left="63" w:right="63"/>
              <w:rPr>
                <w:rFonts w:ascii="宋体" w:hAnsi="宋体"/>
                <w:color w:val="auto"/>
                <w:sz w:val="21"/>
                <w:szCs w:val="21"/>
                <w:highlight w:val="none"/>
              </w:rPr>
            </w:pPr>
            <w:r>
              <w:rPr>
                <w:rFonts w:ascii="宋体" w:hAnsi="宋体"/>
                <w:color w:val="auto"/>
                <w:sz w:val="21"/>
                <w:szCs w:val="21"/>
                <w:highlight w:val="none"/>
              </w:rPr>
              <w:t>二、现场人员</w:t>
            </w:r>
          </w:p>
        </w:tc>
      </w:tr>
      <w:tr w14:paraId="31E5E1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62410D68">
            <w:pPr>
              <w:pStyle w:val="277"/>
              <w:keepNext/>
              <w:spacing w:line="440" w:lineRule="exact"/>
              <w:ind w:left="63" w:right="63"/>
              <w:jc w:val="center"/>
              <w:rPr>
                <w:rFonts w:ascii="宋体" w:hAnsi="宋体"/>
                <w:color w:val="auto"/>
                <w:sz w:val="21"/>
                <w:szCs w:val="21"/>
                <w:highlight w:val="none"/>
              </w:rPr>
            </w:pPr>
            <w:r>
              <w:rPr>
                <w:rFonts w:ascii="宋体" w:hAnsi="宋体"/>
                <w:color w:val="auto"/>
                <w:sz w:val="21"/>
                <w:szCs w:val="21"/>
                <w:highlight w:val="none"/>
              </w:rPr>
              <w:t>项目经理</w:t>
            </w:r>
          </w:p>
        </w:tc>
        <w:tc>
          <w:tcPr>
            <w:tcW w:w="1418" w:type="dxa"/>
            <w:noWrap/>
            <w:vAlign w:val="center"/>
          </w:tcPr>
          <w:p w14:paraId="696EDEC9">
            <w:pPr>
              <w:pStyle w:val="277"/>
              <w:keepNext/>
              <w:spacing w:line="440" w:lineRule="exact"/>
              <w:ind w:left="63" w:right="63"/>
              <w:rPr>
                <w:rFonts w:ascii="宋体" w:hAnsi="宋体"/>
                <w:color w:val="auto"/>
                <w:sz w:val="21"/>
                <w:szCs w:val="21"/>
                <w:highlight w:val="none"/>
              </w:rPr>
            </w:pPr>
          </w:p>
        </w:tc>
        <w:tc>
          <w:tcPr>
            <w:tcW w:w="1134" w:type="dxa"/>
            <w:noWrap/>
            <w:vAlign w:val="center"/>
          </w:tcPr>
          <w:p w14:paraId="78A5AC48">
            <w:pPr>
              <w:pStyle w:val="277"/>
              <w:keepNext/>
              <w:spacing w:line="440" w:lineRule="exact"/>
              <w:ind w:left="63" w:right="63"/>
              <w:rPr>
                <w:rFonts w:ascii="宋体" w:hAnsi="宋体"/>
                <w:color w:val="auto"/>
                <w:sz w:val="21"/>
                <w:szCs w:val="21"/>
                <w:highlight w:val="none"/>
              </w:rPr>
            </w:pPr>
          </w:p>
        </w:tc>
        <w:tc>
          <w:tcPr>
            <w:tcW w:w="1134" w:type="dxa"/>
            <w:noWrap/>
            <w:vAlign w:val="center"/>
          </w:tcPr>
          <w:p w14:paraId="383FA785">
            <w:pPr>
              <w:pStyle w:val="277"/>
              <w:keepNext/>
              <w:spacing w:line="440" w:lineRule="exact"/>
              <w:ind w:left="63" w:right="63"/>
              <w:rPr>
                <w:rFonts w:ascii="宋体" w:hAnsi="宋体"/>
                <w:color w:val="auto"/>
                <w:sz w:val="21"/>
                <w:szCs w:val="21"/>
                <w:highlight w:val="none"/>
              </w:rPr>
            </w:pPr>
          </w:p>
        </w:tc>
        <w:tc>
          <w:tcPr>
            <w:tcW w:w="4252" w:type="dxa"/>
            <w:noWrap/>
            <w:vAlign w:val="center"/>
          </w:tcPr>
          <w:p w14:paraId="4E45E2A4">
            <w:pPr>
              <w:pStyle w:val="277"/>
              <w:keepNext/>
              <w:spacing w:line="440" w:lineRule="exact"/>
              <w:ind w:left="63" w:right="63"/>
              <w:rPr>
                <w:rFonts w:ascii="宋体" w:hAnsi="宋体"/>
                <w:color w:val="auto"/>
                <w:sz w:val="21"/>
                <w:szCs w:val="21"/>
                <w:highlight w:val="none"/>
              </w:rPr>
            </w:pPr>
          </w:p>
        </w:tc>
      </w:tr>
      <w:tr w14:paraId="190912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2E9C2543">
            <w:pPr>
              <w:pStyle w:val="277"/>
              <w:keepNext/>
              <w:spacing w:line="440" w:lineRule="exact"/>
              <w:ind w:left="63" w:right="63"/>
              <w:jc w:val="center"/>
              <w:rPr>
                <w:rFonts w:ascii="宋体" w:hAnsi="宋体"/>
                <w:color w:val="auto"/>
                <w:sz w:val="21"/>
                <w:szCs w:val="21"/>
                <w:highlight w:val="none"/>
              </w:rPr>
            </w:pPr>
            <w:r>
              <w:rPr>
                <w:rFonts w:ascii="宋体" w:hAnsi="宋体"/>
                <w:color w:val="auto"/>
                <w:sz w:val="21"/>
                <w:szCs w:val="21"/>
                <w:highlight w:val="none"/>
              </w:rPr>
              <w:t>项目副经理</w:t>
            </w:r>
          </w:p>
        </w:tc>
        <w:tc>
          <w:tcPr>
            <w:tcW w:w="1418" w:type="dxa"/>
            <w:noWrap/>
            <w:vAlign w:val="center"/>
          </w:tcPr>
          <w:p w14:paraId="48CCED21">
            <w:pPr>
              <w:pStyle w:val="277"/>
              <w:keepNext/>
              <w:spacing w:line="440" w:lineRule="exact"/>
              <w:ind w:left="63" w:right="63"/>
              <w:rPr>
                <w:rFonts w:ascii="宋体" w:hAnsi="宋体"/>
                <w:color w:val="auto"/>
                <w:sz w:val="21"/>
                <w:szCs w:val="21"/>
                <w:highlight w:val="none"/>
              </w:rPr>
            </w:pPr>
          </w:p>
        </w:tc>
        <w:tc>
          <w:tcPr>
            <w:tcW w:w="1134" w:type="dxa"/>
            <w:noWrap/>
            <w:vAlign w:val="center"/>
          </w:tcPr>
          <w:p w14:paraId="509CA7ED">
            <w:pPr>
              <w:pStyle w:val="277"/>
              <w:keepNext/>
              <w:spacing w:line="440" w:lineRule="exact"/>
              <w:ind w:left="63" w:right="63"/>
              <w:rPr>
                <w:rFonts w:ascii="宋体" w:hAnsi="宋体"/>
                <w:color w:val="auto"/>
                <w:sz w:val="21"/>
                <w:szCs w:val="21"/>
                <w:highlight w:val="none"/>
              </w:rPr>
            </w:pPr>
          </w:p>
        </w:tc>
        <w:tc>
          <w:tcPr>
            <w:tcW w:w="1134" w:type="dxa"/>
            <w:noWrap/>
            <w:vAlign w:val="center"/>
          </w:tcPr>
          <w:p w14:paraId="365AD898">
            <w:pPr>
              <w:pStyle w:val="277"/>
              <w:keepNext/>
              <w:spacing w:line="440" w:lineRule="exact"/>
              <w:ind w:left="63" w:right="63"/>
              <w:rPr>
                <w:rFonts w:ascii="宋体" w:hAnsi="宋体"/>
                <w:color w:val="auto"/>
                <w:sz w:val="21"/>
                <w:szCs w:val="21"/>
                <w:highlight w:val="none"/>
              </w:rPr>
            </w:pPr>
          </w:p>
        </w:tc>
        <w:tc>
          <w:tcPr>
            <w:tcW w:w="4252" w:type="dxa"/>
            <w:noWrap/>
            <w:vAlign w:val="center"/>
          </w:tcPr>
          <w:p w14:paraId="21200CF6">
            <w:pPr>
              <w:pStyle w:val="277"/>
              <w:keepNext/>
              <w:spacing w:line="440" w:lineRule="exact"/>
              <w:ind w:left="63" w:right="63"/>
              <w:rPr>
                <w:rFonts w:ascii="宋体" w:hAnsi="宋体"/>
                <w:color w:val="auto"/>
                <w:sz w:val="21"/>
                <w:szCs w:val="21"/>
                <w:highlight w:val="none"/>
              </w:rPr>
            </w:pPr>
          </w:p>
        </w:tc>
      </w:tr>
      <w:tr w14:paraId="2B2D11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1EF0FEAA">
            <w:pPr>
              <w:pStyle w:val="277"/>
              <w:keepNext/>
              <w:spacing w:line="440" w:lineRule="exact"/>
              <w:ind w:left="63" w:right="63"/>
              <w:jc w:val="center"/>
              <w:rPr>
                <w:rFonts w:ascii="宋体" w:hAnsi="宋体"/>
                <w:color w:val="auto"/>
                <w:sz w:val="21"/>
                <w:szCs w:val="21"/>
                <w:highlight w:val="none"/>
              </w:rPr>
            </w:pPr>
            <w:r>
              <w:rPr>
                <w:rFonts w:ascii="宋体" w:hAnsi="宋体"/>
                <w:color w:val="auto"/>
                <w:sz w:val="21"/>
                <w:szCs w:val="21"/>
                <w:highlight w:val="none"/>
              </w:rPr>
              <w:t>技术负责人</w:t>
            </w:r>
          </w:p>
        </w:tc>
        <w:tc>
          <w:tcPr>
            <w:tcW w:w="1418" w:type="dxa"/>
            <w:noWrap/>
            <w:vAlign w:val="center"/>
          </w:tcPr>
          <w:p w14:paraId="41F5835B">
            <w:pPr>
              <w:pStyle w:val="277"/>
              <w:keepNext/>
              <w:spacing w:line="440" w:lineRule="exact"/>
              <w:ind w:left="63" w:right="63"/>
              <w:rPr>
                <w:rFonts w:ascii="宋体" w:hAnsi="宋体"/>
                <w:color w:val="auto"/>
                <w:sz w:val="21"/>
                <w:szCs w:val="21"/>
                <w:highlight w:val="none"/>
              </w:rPr>
            </w:pPr>
          </w:p>
        </w:tc>
        <w:tc>
          <w:tcPr>
            <w:tcW w:w="1134" w:type="dxa"/>
            <w:noWrap/>
            <w:vAlign w:val="center"/>
          </w:tcPr>
          <w:p w14:paraId="6D4EF22E">
            <w:pPr>
              <w:pStyle w:val="277"/>
              <w:keepNext/>
              <w:spacing w:line="440" w:lineRule="exact"/>
              <w:ind w:left="63" w:right="63"/>
              <w:rPr>
                <w:rFonts w:ascii="宋体" w:hAnsi="宋体"/>
                <w:color w:val="auto"/>
                <w:sz w:val="21"/>
                <w:szCs w:val="21"/>
                <w:highlight w:val="none"/>
              </w:rPr>
            </w:pPr>
          </w:p>
        </w:tc>
        <w:tc>
          <w:tcPr>
            <w:tcW w:w="1134" w:type="dxa"/>
            <w:noWrap/>
            <w:vAlign w:val="center"/>
          </w:tcPr>
          <w:p w14:paraId="13667F7F">
            <w:pPr>
              <w:pStyle w:val="277"/>
              <w:keepNext/>
              <w:spacing w:line="440" w:lineRule="exact"/>
              <w:ind w:left="63" w:right="63"/>
              <w:rPr>
                <w:rFonts w:ascii="宋体" w:hAnsi="宋体"/>
                <w:color w:val="auto"/>
                <w:sz w:val="21"/>
                <w:szCs w:val="21"/>
                <w:highlight w:val="none"/>
              </w:rPr>
            </w:pPr>
          </w:p>
        </w:tc>
        <w:tc>
          <w:tcPr>
            <w:tcW w:w="4252" w:type="dxa"/>
            <w:noWrap/>
            <w:vAlign w:val="center"/>
          </w:tcPr>
          <w:p w14:paraId="777D6F3D">
            <w:pPr>
              <w:pStyle w:val="277"/>
              <w:keepNext/>
              <w:spacing w:line="440" w:lineRule="exact"/>
              <w:ind w:left="63" w:right="63"/>
              <w:rPr>
                <w:rFonts w:ascii="宋体" w:hAnsi="宋体"/>
                <w:color w:val="auto"/>
                <w:sz w:val="21"/>
                <w:szCs w:val="21"/>
                <w:highlight w:val="none"/>
              </w:rPr>
            </w:pPr>
          </w:p>
        </w:tc>
      </w:tr>
      <w:tr w14:paraId="6AAAC6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45B86D47">
            <w:pPr>
              <w:pStyle w:val="277"/>
              <w:keepNext/>
              <w:spacing w:line="440" w:lineRule="exact"/>
              <w:ind w:left="63" w:right="63"/>
              <w:jc w:val="center"/>
              <w:rPr>
                <w:rFonts w:ascii="宋体" w:hAnsi="宋体"/>
                <w:color w:val="auto"/>
                <w:sz w:val="21"/>
                <w:szCs w:val="21"/>
                <w:highlight w:val="none"/>
              </w:rPr>
            </w:pPr>
            <w:r>
              <w:rPr>
                <w:rFonts w:ascii="宋体" w:hAnsi="宋体"/>
                <w:color w:val="auto"/>
                <w:sz w:val="21"/>
                <w:szCs w:val="21"/>
                <w:highlight w:val="none"/>
              </w:rPr>
              <w:t>造价管理</w:t>
            </w:r>
          </w:p>
        </w:tc>
        <w:tc>
          <w:tcPr>
            <w:tcW w:w="1418" w:type="dxa"/>
            <w:noWrap/>
            <w:vAlign w:val="center"/>
          </w:tcPr>
          <w:p w14:paraId="430E96D6">
            <w:pPr>
              <w:pStyle w:val="277"/>
              <w:keepNext/>
              <w:spacing w:line="440" w:lineRule="exact"/>
              <w:ind w:left="63" w:right="63"/>
              <w:rPr>
                <w:rFonts w:ascii="宋体" w:hAnsi="宋体"/>
                <w:color w:val="auto"/>
                <w:sz w:val="21"/>
                <w:szCs w:val="21"/>
                <w:highlight w:val="none"/>
              </w:rPr>
            </w:pPr>
          </w:p>
        </w:tc>
        <w:tc>
          <w:tcPr>
            <w:tcW w:w="1134" w:type="dxa"/>
            <w:noWrap/>
            <w:vAlign w:val="center"/>
          </w:tcPr>
          <w:p w14:paraId="27F5667F">
            <w:pPr>
              <w:pStyle w:val="277"/>
              <w:keepNext/>
              <w:spacing w:line="440" w:lineRule="exact"/>
              <w:ind w:left="63" w:right="63"/>
              <w:rPr>
                <w:rFonts w:ascii="宋体" w:hAnsi="宋体"/>
                <w:color w:val="auto"/>
                <w:sz w:val="21"/>
                <w:szCs w:val="21"/>
                <w:highlight w:val="none"/>
              </w:rPr>
            </w:pPr>
          </w:p>
        </w:tc>
        <w:tc>
          <w:tcPr>
            <w:tcW w:w="1134" w:type="dxa"/>
            <w:noWrap/>
            <w:vAlign w:val="center"/>
          </w:tcPr>
          <w:p w14:paraId="78B327DC">
            <w:pPr>
              <w:pStyle w:val="277"/>
              <w:keepNext/>
              <w:spacing w:line="440" w:lineRule="exact"/>
              <w:ind w:left="63" w:right="63"/>
              <w:rPr>
                <w:rFonts w:ascii="宋体" w:hAnsi="宋体"/>
                <w:color w:val="auto"/>
                <w:sz w:val="21"/>
                <w:szCs w:val="21"/>
                <w:highlight w:val="none"/>
              </w:rPr>
            </w:pPr>
          </w:p>
        </w:tc>
        <w:tc>
          <w:tcPr>
            <w:tcW w:w="4252" w:type="dxa"/>
            <w:noWrap/>
            <w:vAlign w:val="center"/>
          </w:tcPr>
          <w:p w14:paraId="5304A151">
            <w:pPr>
              <w:pStyle w:val="277"/>
              <w:keepNext/>
              <w:spacing w:line="440" w:lineRule="exact"/>
              <w:ind w:left="63" w:right="63"/>
              <w:rPr>
                <w:rFonts w:ascii="宋体" w:hAnsi="宋体"/>
                <w:color w:val="auto"/>
                <w:sz w:val="21"/>
                <w:szCs w:val="21"/>
                <w:highlight w:val="none"/>
              </w:rPr>
            </w:pPr>
          </w:p>
        </w:tc>
      </w:tr>
      <w:tr w14:paraId="78C4EA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4B84C6C6">
            <w:pPr>
              <w:pStyle w:val="277"/>
              <w:keepNext/>
              <w:spacing w:line="440" w:lineRule="exact"/>
              <w:ind w:left="63" w:right="63"/>
              <w:jc w:val="center"/>
              <w:rPr>
                <w:rFonts w:ascii="宋体" w:hAnsi="宋体"/>
                <w:color w:val="auto"/>
                <w:sz w:val="21"/>
                <w:szCs w:val="21"/>
                <w:highlight w:val="none"/>
              </w:rPr>
            </w:pPr>
            <w:r>
              <w:rPr>
                <w:rFonts w:ascii="宋体" w:hAnsi="宋体"/>
                <w:color w:val="auto"/>
                <w:sz w:val="21"/>
                <w:szCs w:val="21"/>
                <w:highlight w:val="none"/>
              </w:rPr>
              <w:t>质量管理</w:t>
            </w:r>
          </w:p>
        </w:tc>
        <w:tc>
          <w:tcPr>
            <w:tcW w:w="1418" w:type="dxa"/>
            <w:noWrap/>
            <w:vAlign w:val="center"/>
          </w:tcPr>
          <w:p w14:paraId="47B21935">
            <w:pPr>
              <w:pStyle w:val="277"/>
              <w:keepNext/>
              <w:spacing w:line="440" w:lineRule="exact"/>
              <w:ind w:left="63" w:right="63"/>
              <w:rPr>
                <w:rFonts w:ascii="宋体" w:hAnsi="宋体"/>
                <w:color w:val="auto"/>
                <w:sz w:val="21"/>
                <w:szCs w:val="21"/>
                <w:highlight w:val="none"/>
              </w:rPr>
            </w:pPr>
          </w:p>
        </w:tc>
        <w:tc>
          <w:tcPr>
            <w:tcW w:w="1134" w:type="dxa"/>
            <w:noWrap/>
            <w:vAlign w:val="center"/>
          </w:tcPr>
          <w:p w14:paraId="450CCE3D">
            <w:pPr>
              <w:pStyle w:val="277"/>
              <w:keepNext/>
              <w:spacing w:line="440" w:lineRule="exact"/>
              <w:ind w:left="63" w:right="63"/>
              <w:rPr>
                <w:rFonts w:ascii="宋体" w:hAnsi="宋体"/>
                <w:color w:val="auto"/>
                <w:sz w:val="21"/>
                <w:szCs w:val="21"/>
                <w:highlight w:val="none"/>
              </w:rPr>
            </w:pPr>
          </w:p>
        </w:tc>
        <w:tc>
          <w:tcPr>
            <w:tcW w:w="1134" w:type="dxa"/>
            <w:noWrap/>
            <w:vAlign w:val="center"/>
          </w:tcPr>
          <w:p w14:paraId="6BD4A999">
            <w:pPr>
              <w:pStyle w:val="277"/>
              <w:keepNext/>
              <w:spacing w:line="440" w:lineRule="exact"/>
              <w:ind w:left="63" w:right="63"/>
              <w:rPr>
                <w:rFonts w:ascii="宋体" w:hAnsi="宋体"/>
                <w:color w:val="auto"/>
                <w:sz w:val="21"/>
                <w:szCs w:val="21"/>
                <w:highlight w:val="none"/>
              </w:rPr>
            </w:pPr>
          </w:p>
        </w:tc>
        <w:tc>
          <w:tcPr>
            <w:tcW w:w="4252" w:type="dxa"/>
            <w:noWrap/>
            <w:vAlign w:val="center"/>
          </w:tcPr>
          <w:p w14:paraId="2EE402C6">
            <w:pPr>
              <w:pStyle w:val="277"/>
              <w:keepNext/>
              <w:spacing w:line="440" w:lineRule="exact"/>
              <w:ind w:left="63" w:right="63"/>
              <w:rPr>
                <w:rFonts w:ascii="宋体" w:hAnsi="宋体"/>
                <w:color w:val="auto"/>
                <w:sz w:val="21"/>
                <w:szCs w:val="21"/>
                <w:highlight w:val="none"/>
              </w:rPr>
            </w:pPr>
          </w:p>
        </w:tc>
      </w:tr>
      <w:tr w14:paraId="74E8BA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49F4E78E">
            <w:pPr>
              <w:pStyle w:val="277"/>
              <w:keepNext/>
              <w:spacing w:line="440" w:lineRule="exact"/>
              <w:ind w:left="63" w:right="63"/>
              <w:jc w:val="center"/>
              <w:rPr>
                <w:rFonts w:ascii="宋体" w:hAnsi="宋体"/>
                <w:color w:val="auto"/>
                <w:sz w:val="21"/>
                <w:szCs w:val="21"/>
                <w:highlight w:val="none"/>
              </w:rPr>
            </w:pPr>
            <w:r>
              <w:rPr>
                <w:rFonts w:ascii="宋体" w:hAnsi="宋体"/>
                <w:color w:val="auto"/>
                <w:sz w:val="21"/>
                <w:szCs w:val="21"/>
                <w:highlight w:val="none"/>
              </w:rPr>
              <w:t>材料管理</w:t>
            </w:r>
          </w:p>
        </w:tc>
        <w:tc>
          <w:tcPr>
            <w:tcW w:w="1418" w:type="dxa"/>
            <w:noWrap/>
            <w:vAlign w:val="center"/>
          </w:tcPr>
          <w:p w14:paraId="396EF5C9">
            <w:pPr>
              <w:pStyle w:val="277"/>
              <w:keepNext/>
              <w:spacing w:line="440" w:lineRule="exact"/>
              <w:ind w:left="63" w:right="63"/>
              <w:rPr>
                <w:rFonts w:ascii="宋体" w:hAnsi="宋体"/>
                <w:color w:val="auto"/>
                <w:sz w:val="21"/>
                <w:szCs w:val="21"/>
                <w:highlight w:val="none"/>
              </w:rPr>
            </w:pPr>
          </w:p>
        </w:tc>
        <w:tc>
          <w:tcPr>
            <w:tcW w:w="1134" w:type="dxa"/>
            <w:noWrap/>
            <w:vAlign w:val="center"/>
          </w:tcPr>
          <w:p w14:paraId="23279DDC">
            <w:pPr>
              <w:pStyle w:val="277"/>
              <w:keepNext/>
              <w:spacing w:line="440" w:lineRule="exact"/>
              <w:ind w:left="63" w:right="63"/>
              <w:rPr>
                <w:rFonts w:ascii="宋体" w:hAnsi="宋体"/>
                <w:color w:val="auto"/>
                <w:sz w:val="21"/>
                <w:szCs w:val="21"/>
                <w:highlight w:val="none"/>
              </w:rPr>
            </w:pPr>
          </w:p>
        </w:tc>
        <w:tc>
          <w:tcPr>
            <w:tcW w:w="1134" w:type="dxa"/>
            <w:noWrap/>
            <w:vAlign w:val="center"/>
          </w:tcPr>
          <w:p w14:paraId="1B1C93B2">
            <w:pPr>
              <w:pStyle w:val="277"/>
              <w:keepNext/>
              <w:spacing w:line="440" w:lineRule="exact"/>
              <w:ind w:left="63" w:right="63"/>
              <w:rPr>
                <w:rFonts w:ascii="宋体" w:hAnsi="宋体"/>
                <w:color w:val="auto"/>
                <w:sz w:val="21"/>
                <w:szCs w:val="21"/>
                <w:highlight w:val="none"/>
              </w:rPr>
            </w:pPr>
          </w:p>
        </w:tc>
        <w:tc>
          <w:tcPr>
            <w:tcW w:w="4252" w:type="dxa"/>
            <w:noWrap/>
            <w:vAlign w:val="center"/>
          </w:tcPr>
          <w:p w14:paraId="10C2A14B">
            <w:pPr>
              <w:pStyle w:val="277"/>
              <w:keepNext/>
              <w:spacing w:line="440" w:lineRule="exact"/>
              <w:ind w:left="63" w:right="63"/>
              <w:rPr>
                <w:rFonts w:ascii="宋体" w:hAnsi="宋体"/>
                <w:color w:val="auto"/>
                <w:sz w:val="21"/>
                <w:szCs w:val="21"/>
                <w:highlight w:val="none"/>
              </w:rPr>
            </w:pPr>
          </w:p>
        </w:tc>
      </w:tr>
      <w:tr w14:paraId="3BC6EB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1AD41A51">
            <w:pPr>
              <w:pStyle w:val="277"/>
              <w:keepNext/>
              <w:spacing w:line="440" w:lineRule="exact"/>
              <w:ind w:left="63" w:right="63"/>
              <w:jc w:val="center"/>
              <w:rPr>
                <w:rFonts w:ascii="宋体" w:hAnsi="宋体"/>
                <w:color w:val="auto"/>
                <w:sz w:val="21"/>
                <w:szCs w:val="21"/>
                <w:highlight w:val="none"/>
              </w:rPr>
            </w:pPr>
            <w:r>
              <w:rPr>
                <w:rFonts w:ascii="宋体" w:hAnsi="宋体"/>
                <w:color w:val="auto"/>
                <w:sz w:val="21"/>
                <w:szCs w:val="21"/>
                <w:highlight w:val="none"/>
              </w:rPr>
              <w:t>计划管理</w:t>
            </w:r>
          </w:p>
        </w:tc>
        <w:tc>
          <w:tcPr>
            <w:tcW w:w="1418" w:type="dxa"/>
            <w:noWrap/>
            <w:vAlign w:val="center"/>
          </w:tcPr>
          <w:p w14:paraId="432B5B7A">
            <w:pPr>
              <w:pStyle w:val="277"/>
              <w:keepNext/>
              <w:spacing w:line="440" w:lineRule="exact"/>
              <w:ind w:left="63" w:right="63"/>
              <w:rPr>
                <w:rFonts w:ascii="宋体" w:hAnsi="宋体"/>
                <w:color w:val="auto"/>
                <w:sz w:val="21"/>
                <w:szCs w:val="21"/>
                <w:highlight w:val="none"/>
              </w:rPr>
            </w:pPr>
          </w:p>
        </w:tc>
        <w:tc>
          <w:tcPr>
            <w:tcW w:w="1134" w:type="dxa"/>
            <w:noWrap/>
            <w:vAlign w:val="center"/>
          </w:tcPr>
          <w:p w14:paraId="5A5469EE">
            <w:pPr>
              <w:pStyle w:val="277"/>
              <w:keepNext/>
              <w:spacing w:line="440" w:lineRule="exact"/>
              <w:ind w:left="63" w:right="63"/>
              <w:rPr>
                <w:rFonts w:ascii="宋体" w:hAnsi="宋体"/>
                <w:color w:val="auto"/>
                <w:sz w:val="21"/>
                <w:szCs w:val="21"/>
                <w:highlight w:val="none"/>
              </w:rPr>
            </w:pPr>
          </w:p>
        </w:tc>
        <w:tc>
          <w:tcPr>
            <w:tcW w:w="1134" w:type="dxa"/>
            <w:noWrap/>
            <w:vAlign w:val="center"/>
          </w:tcPr>
          <w:p w14:paraId="344AADF5">
            <w:pPr>
              <w:pStyle w:val="277"/>
              <w:keepNext/>
              <w:spacing w:line="440" w:lineRule="exact"/>
              <w:ind w:left="63" w:right="63"/>
              <w:rPr>
                <w:rFonts w:ascii="宋体" w:hAnsi="宋体"/>
                <w:color w:val="auto"/>
                <w:sz w:val="21"/>
                <w:szCs w:val="21"/>
                <w:highlight w:val="none"/>
              </w:rPr>
            </w:pPr>
          </w:p>
        </w:tc>
        <w:tc>
          <w:tcPr>
            <w:tcW w:w="4252" w:type="dxa"/>
            <w:noWrap/>
            <w:vAlign w:val="center"/>
          </w:tcPr>
          <w:p w14:paraId="7EA0DB07">
            <w:pPr>
              <w:pStyle w:val="277"/>
              <w:keepNext/>
              <w:spacing w:line="440" w:lineRule="exact"/>
              <w:ind w:left="63" w:right="63"/>
              <w:rPr>
                <w:rFonts w:ascii="宋体" w:hAnsi="宋体"/>
                <w:color w:val="auto"/>
                <w:sz w:val="21"/>
                <w:szCs w:val="21"/>
                <w:highlight w:val="none"/>
              </w:rPr>
            </w:pPr>
          </w:p>
        </w:tc>
      </w:tr>
      <w:tr w14:paraId="54E165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ign w:val="center"/>
          </w:tcPr>
          <w:p w14:paraId="2EB91200">
            <w:pPr>
              <w:pStyle w:val="277"/>
              <w:keepNext/>
              <w:spacing w:line="440" w:lineRule="exact"/>
              <w:ind w:left="63" w:right="63"/>
              <w:jc w:val="center"/>
              <w:rPr>
                <w:rFonts w:ascii="宋体" w:hAnsi="宋体"/>
                <w:color w:val="auto"/>
                <w:sz w:val="21"/>
                <w:szCs w:val="21"/>
                <w:highlight w:val="none"/>
              </w:rPr>
            </w:pPr>
            <w:r>
              <w:rPr>
                <w:rFonts w:ascii="宋体" w:hAnsi="宋体"/>
                <w:color w:val="auto"/>
                <w:sz w:val="21"/>
                <w:szCs w:val="21"/>
                <w:highlight w:val="none"/>
              </w:rPr>
              <w:t>安全管理</w:t>
            </w:r>
          </w:p>
        </w:tc>
        <w:tc>
          <w:tcPr>
            <w:tcW w:w="1418" w:type="dxa"/>
            <w:noWrap/>
            <w:vAlign w:val="center"/>
          </w:tcPr>
          <w:p w14:paraId="10FDC253">
            <w:pPr>
              <w:pStyle w:val="277"/>
              <w:keepNext/>
              <w:spacing w:line="440" w:lineRule="exact"/>
              <w:ind w:left="63" w:right="63"/>
              <w:rPr>
                <w:rFonts w:ascii="宋体" w:hAnsi="宋体"/>
                <w:color w:val="auto"/>
                <w:sz w:val="21"/>
                <w:szCs w:val="21"/>
                <w:highlight w:val="none"/>
              </w:rPr>
            </w:pPr>
          </w:p>
        </w:tc>
        <w:tc>
          <w:tcPr>
            <w:tcW w:w="1134" w:type="dxa"/>
            <w:noWrap/>
            <w:vAlign w:val="center"/>
          </w:tcPr>
          <w:p w14:paraId="62AFD151">
            <w:pPr>
              <w:pStyle w:val="277"/>
              <w:keepNext/>
              <w:spacing w:line="440" w:lineRule="exact"/>
              <w:ind w:left="63" w:right="63"/>
              <w:rPr>
                <w:rFonts w:ascii="宋体" w:hAnsi="宋体"/>
                <w:color w:val="auto"/>
                <w:sz w:val="21"/>
                <w:szCs w:val="21"/>
                <w:highlight w:val="none"/>
              </w:rPr>
            </w:pPr>
          </w:p>
        </w:tc>
        <w:tc>
          <w:tcPr>
            <w:tcW w:w="1134" w:type="dxa"/>
            <w:noWrap/>
            <w:vAlign w:val="center"/>
          </w:tcPr>
          <w:p w14:paraId="3B4B1DF5">
            <w:pPr>
              <w:pStyle w:val="277"/>
              <w:keepNext/>
              <w:spacing w:line="440" w:lineRule="exact"/>
              <w:ind w:left="63" w:right="63"/>
              <w:rPr>
                <w:rFonts w:ascii="宋体" w:hAnsi="宋体"/>
                <w:color w:val="auto"/>
                <w:sz w:val="21"/>
                <w:szCs w:val="21"/>
                <w:highlight w:val="none"/>
              </w:rPr>
            </w:pPr>
          </w:p>
        </w:tc>
        <w:tc>
          <w:tcPr>
            <w:tcW w:w="4252" w:type="dxa"/>
            <w:noWrap/>
            <w:vAlign w:val="center"/>
          </w:tcPr>
          <w:p w14:paraId="23E82B58">
            <w:pPr>
              <w:pStyle w:val="277"/>
              <w:keepNext/>
              <w:spacing w:line="440" w:lineRule="exact"/>
              <w:ind w:left="63" w:right="63"/>
              <w:rPr>
                <w:rFonts w:ascii="宋体" w:hAnsi="宋体"/>
                <w:color w:val="auto"/>
                <w:sz w:val="21"/>
                <w:szCs w:val="21"/>
                <w:highlight w:val="none"/>
              </w:rPr>
            </w:pPr>
          </w:p>
        </w:tc>
      </w:tr>
      <w:tr w14:paraId="67A702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ign w:val="center"/>
          </w:tcPr>
          <w:p w14:paraId="28CE4620">
            <w:pPr>
              <w:pStyle w:val="277"/>
              <w:keepNext/>
              <w:spacing w:line="440" w:lineRule="exact"/>
              <w:ind w:left="63" w:right="63"/>
              <w:jc w:val="center"/>
              <w:rPr>
                <w:rFonts w:ascii="宋体" w:hAnsi="宋体"/>
                <w:color w:val="auto"/>
                <w:sz w:val="21"/>
                <w:szCs w:val="21"/>
                <w:highlight w:val="none"/>
              </w:rPr>
            </w:pPr>
            <w:r>
              <w:rPr>
                <w:rFonts w:ascii="宋体" w:hAnsi="宋体"/>
                <w:color w:val="auto"/>
                <w:sz w:val="21"/>
                <w:szCs w:val="21"/>
                <w:highlight w:val="none"/>
              </w:rPr>
              <w:t>其他人员</w:t>
            </w:r>
          </w:p>
        </w:tc>
        <w:tc>
          <w:tcPr>
            <w:tcW w:w="1418" w:type="dxa"/>
            <w:noWrap/>
            <w:vAlign w:val="center"/>
          </w:tcPr>
          <w:p w14:paraId="6826CE2B">
            <w:pPr>
              <w:pStyle w:val="277"/>
              <w:keepNext/>
              <w:spacing w:line="440" w:lineRule="exact"/>
              <w:ind w:left="63" w:right="63"/>
              <w:rPr>
                <w:rFonts w:ascii="宋体" w:hAnsi="宋体"/>
                <w:color w:val="auto"/>
                <w:sz w:val="21"/>
                <w:szCs w:val="21"/>
                <w:highlight w:val="none"/>
              </w:rPr>
            </w:pPr>
          </w:p>
        </w:tc>
        <w:tc>
          <w:tcPr>
            <w:tcW w:w="1134" w:type="dxa"/>
            <w:noWrap/>
            <w:vAlign w:val="center"/>
          </w:tcPr>
          <w:p w14:paraId="30B180CB">
            <w:pPr>
              <w:pStyle w:val="277"/>
              <w:keepNext/>
              <w:spacing w:line="440" w:lineRule="exact"/>
              <w:ind w:left="63" w:right="63"/>
              <w:rPr>
                <w:rFonts w:ascii="宋体" w:hAnsi="宋体"/>
                <w:color w:val="auto"/>
                <w:sz w:val="21"/>
                <w:szCs w:val="21"/>
                <w:highlight w:val="none"/>
              </w:rPr>
            </w:pPr>
          </w:p>
        </w:tc>
        <w:tc>
          <w:tcPr>
            <w:tcW w:w="1134" w:type="dxa"/>
            <w:noWrap/>
            <w:vAlign w:val="center"/>
          </w:tcPr>
          <w:p w14:paraId="7DB1FC30">
            <w:pPr>
              <w:pStyle w:val="277"/>
              <w:keepNext/>
              <w:spacing w:line="440" w:lineRule="exact"/>
              <w:ind w:left="63" w:right="63"/>
              <w:rPr>
                <w:rFonts w:ascii="宋体" w:hAnsi="宋体"/>
                <w:color w:val="auto"/>
                <w:sz w:val="21"/>
                <w:szCs w:val="21"/>
                <w:highlight w:val="none"/>
              </w:rPr>
            </w:pPr>
          </w:p>
        </w:tc>
        <w:tc>
          <w:tcPr>
            <w:tcW w:w="4252" w:type="dxa"/>
            <w:noWrap/>
            <w:vAlign w:val="center"/>
          </w:tcPr>
          <w:p w14:paraId="1B799FAA">
            <w:pPr>
              <w:pStyle w:val="277"/>
              <w:keepNext/>
              <w:spacing w:line="440" w:lineRule="exact"/>
              <w:ind w:left="63" w:right="63"/>
              <w:rPr>
                <w:rFonts w:ascii="宋体" w:hAnsi="宋体"/>
                <w:color w:val="auto"/>
                <w:sz w:val="21"/>
                <w:szCs w:val="21"/>
                <w:highlight w:val="none"/>
              </w:rPr>
            </w:pPr>
          </w:p>
        </w:tc>
      </w:tr>
      <w:tr w14:paraId="6BD3B8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ign w:val="center"/>
          </w:tcPr>
          <w:p w14:paraId="5FCBDD59">
            <w:pPr>
              <w:pStyle w:val="277"/>
              <w:keepNext/>
              <w:spacing w:line="440" w:lineRule="exact"/>
              <w:ind w:left="63" w:right="63"/>
              <w:rPr>
                <w:rFonts w:ascii="宋体" w:hAnsi="宋体"/>
                <w:color w:val="auto"/>
                <w:sz w:val="21"/>
                <w:szCs w:val="21"/>
                <w:highlight w:val="none"/>
              </w:rPr>
            </w:pPr>
          </w:p>
        </w:tc>
        <w:tc>
          <w:tcPr>
            <w:tcW w:w="1418" w:type="dxa"/>
            <w:tcBorders>
              <w:bottom w:val="nil"/>
            </w:tcBorders>
            <w:noWrap/>
            <w:vAlign w:val="center"/>
          </w:tcPr>
          <w:p w14:paraId="01F44811">
            <w:pPr>
              <w:pStyle w:val="277"/>
              <w:keepNext/>
              <w:spacing w:line="440" w:lineRule="exact"/>
              <w:ind w:left="63" w:right="63"/>
              <w:rPr>
                <w:rFonts w:ascii="宋体" w:hAnsi="宋体"/>
                <w:color w:val="auto"/>
                <w:sz w:val="21"/>
                <w:szCs w:val="21"/>
                <w:highlight w:val="none"/>
              </w:rPr>
            </w:pPr>
          </w:p>
        </w:tc>
        <w:tc>
          <w:tcPr>
            <w:tcW w:w="1134" w:type="dxa"/>
            <w:tcBorders>
              <w:bottom w:val="nil"/>
            </w:tcBorders>
            <w:noWrap/>
            <w:vAlign w:val="center"/>
          </w:tcPr>
          <w:p w14:paraId="0955C19C">
            <w:pPr>
              <w:pStyle w:val="277"/>
              <w:keepNext/>
              <w:spacing w:line="440" w:lineRule="exact"/>
              <w:ind w:left="63" w:right="63"/>
              <w:rPr>
                <w:rFonts w:ascii="宋体" w:hAnsi="宋体"/>
                <w:color w:val="auto"/>
                <w:sz w:val="21"/>
                <w:szCs w:val="21"/>
                <w:highlight w:val="none"/>
              </w:rPr>
            </w:pPr>
          </w:p>
        </w:tc>
        <w:tc>
          <w:tcPr>
            <w:tcW w:w="1134" w:type="dxa"/>
            <w:tcBorders>
              <w:bottom w:val="nil"/>
            </w:tcBorders>
            <w:noWrap/>
            <w:vAlign w:val="center"/>
          </w:tcPr>
          <w:p w14:paraId="53DA74AA">
            <w:pPr>
              <w:pStyle w:val="277"/>
              <w:keepNext/>
              <w:spacing w:line="440" w:lineRule="exact"/>
              <w:ind w:left="63" w:right="63"/>
              <w:rPr>
                <w:rFonts w:ascii="宋体" w:hAnsi="宋体"/>
                <w:color w:val="auto"/>
                <w:sz w:val="21"/>
                <w:szCs w:val="21"/>
                <w:highlight w:val="none"/>
              </w:rPr>
            </w:pPr>
          </w:p>
        </w:tc>
        <w:tc>
          <w:tcPr>
            <w:tcW w:w="4252" w:type="dxa"/>
            <w:tcBorders>
              <w:bottom w:val="nil"/>
            </w:tcBorders>
            <w:noWrap/>
            <w:vAlign w:val="center"/>
          </w:tcPr>
          <w:p w14:paraId="5F74731D">
            <w:pPr>
              <w:pStyle w:val="277"/>
              <w:keepNext/>
              <w:spacing w:line="440" w:lineRule="exact"/>
              <w:ind w:left="63" w:right="63"/>
              <w:rPr>
                <w:rFonts w:ascii="宋体" w:hAnsi="宋体"/>
                <w:color w:val="auto"/>
                <w:sz w:val="21"/>
                <w:szCs w:val="21"/>
                <w:highlight w:val="none"/>
              </w:rPr>
            </w:pPr>
          </w:p>
        </w:tc>
      </w:tr>
      <w:tr w14:paraId="49FC70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ign w:val="center"/>
          </w:tcPr>
          <w:p w14:paraId="39EF6022">
            <w:pPr>
              <w:pStyle w:val="277"/>
              <w:keepNext/>
              <w:spacing w:line="440" w:lineRule="exact"/>
              <w:ind w:left="63" w:right="63"/>
              <w:rPr>
                <w:rFonts w:ascii="宋体" w:hAnsi="宋体"/>
                <w:color w:val="auto"/>
                <w:sz w:val="21"/>
                <w:szCs w:val="21"/>
                <w:highlight w:val="none"/>
              </w:rPr>
            </w:pPr>
          </w:p>
        </w:tc>
        <w:tc>
          <w:tcPr>
            <w:tcW w:w="1418" w:type="dxa"/>
            <w:noWrap/>
            <w:vAlign w:val="center"/>
          </w:tcPr>
          <w:p w14:paraId="6F5761BC">
            <w:pPr>
              <w:pStyle w:val="277"/>
              <w:keepNext/>
              <w:spacing w:line="440" w:lineRule="exact"/>
              <w:ind w:left="63" w:right="63"/>
              <w:rPr>
                <w:rFonts w:ascii="宋体" w:hAnsi="宋体"/>
                <w:color w:val="auto"/>
                <w:sz w:val="21"/>
                <w:szCs w:val="21"/>
                <w:highlight w:val="none"/>
              </w:rPr>
            </w:pPr>
          </w:p>
        </w:tc>
        <w:tc>
          <w:tcPr>
            <w:tcW w:w="1134" w:type="dxa"/>
            <w:noWrap/>
            <w:vAlign w:val="center"/>
          </w:tcPr>
          <w:p w14:paraId="6B0A2F5C">
            <w:pPr>
              <w:pStyle w:val="277"/>
              <w:keepNext/>
              <w:spacing w:line="440" w:lineRule="exact"/>
              <w:ind w:left="63" w:right="63"/>
              <w:rPr>
                <w:rFonts w:ascii="宋体" w:hAnsi="宋体"/>
                <w:color w:val="auto"/>
                <w:sz w:val="21"/>
                <w:szCs w:val="21"/>
                <w:highlight w:val="none"/>
              </w:rPr>
            </w:pPr>
          </w:p>
        </w:tc>
        <w:tc>
          <w:tcPr>
            <w:tcW w:w="1134" w:type="dxa"/>
            <w:noWrap/>
            <w:vAlign w:val="center"/>
          </w:tcPr>
          <w:p w14:paraId="60A632C3">
            <w:pPr>
              <w:pStyle w:val="277"/>
              <w:keepNext/>
              <w:spacing w:line="440" w:lineRule="exact"/>
              <w:ind w:left="63" w:right="63"/>
              <w:rPr>
                <w:rFonts w:ascii="宋体" w:hAnsi="宋体"/>
                <w:color w:val="auto"/>
                <w:sz w:val="21"/>
                <w:szCs w:val="21"/>
                <w:highlight w:val="none"/>
              </w:rPr>
            </w:pPr>
          </w:p>
        </w:tc>
        <w:tc>
          <w:tcPr>
            <w:tcW w:w="4252" w:type="dxa"/>
            <w:noWrap/>
            <w:vAlign w:val="center"/>
          </w:tcPr>
          <w:p w14:paraId="15F017D9">
            <w:pPr>
              <w:pStyle w:val="277"/>
              <w:keepNext/>
              <w:spacing w:line="440" w:lineRule="exact"/>
              <w:ind w:left="63" w:right="63"/>
              <w:rPr>
                <w:rFonts w:ascii="宋体" w:hAnsi="宋体"/>
                <w:color w:val="auto"/>
                <w:sz w:val="21"/>
                <w:szCs w:val="21"/>
                <w:highlight w:val="none"/>
              </w:rPr>
            </w:pPr>
          </w:p>
        </w:tc>
      </w:tr>
      <w:tr w14:paraId="6B9593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ign w:val="center"/>
          </w:tcPr>
          <w:p w14:paraId="4E7153F4">
            <w:pPr>
              <w:pStyle w:val="277"/>
              <w:keepNext/>
              <w:spacing w:line="440" w:lineRule="exact"/>
              <w:ind w:left="63" w:right="63"/>
              <w:rPr>
                <w:rFonts w:ascii="宋体" w:hAnsi="宋体"/>
                <w:color w:val="auto"/>
                <w:sz w:val="21"/>
                <w:szCs w:val="21"/>
                <w:highlight w:val="none"/>
              </w:rPr>
            </w:pPr>
          </w:p>
        </w:tc>
        <w:tc>
          <w:tcPr>
            <w:tcW w:w="1418" w:type="dxa"/>
            <w:noWrap/>
            <w:vAlign w:val="center"/>
          </w:tcPr>
          <w:p w14:paraId="1C6C1FBD">
            <w:pPr>
              <w:pStyle w:val="277"/>
              <w:keepNext/>
              <w:spacing w:line="440" w:lineRule="exact"/>
              <w:ind w:left="63" w:right="63"/>
              <w:rPr>
                <w:rFonts w:ascii="宋体" w:hAnsi="宋体"/>
                <w:color w:val="auto"/>
                <w:sz w:val="21"/>
                <w:szCs w:val="21"/>
                <w:highlight w:val="none"/>
              </w:rPr>
            </w:pPr>
          </w:p>
        </w:tc>
        <w:tc>
          <w:tcPr>
            <w:tcW w:w="1134" w:type="dxa"/>
            <w:noWrap/>
            <w:vAlign w:val="center"/>
          </w:tcPr>
          <w:p w14:paraId="1C26650E">
            <w:pPr>
              <w:pStyle w:val="277"/>
              <w:keepNext/>
              <w:spacing w:line="440" w:lineRule="exact"/>
              <w:ind w:left="63" w:right="63"/>
              <w:rPr>
                <w:rFonts w:ascii="宋体" w:hAnsi="宋体"/>
                <w:color w:val="auto"/>
                <w:sz w:val="21"/>
                <w:szCs w:val="21"/>
                <w:highlight w:val="none"/>
              </w:rPr>
            </w:pPr>
          </w:p>
        </w:tc>
        <w:tc>
          <w:tcPr>
            <w:tcW w:w="1134" w:type="dxa"/>
            <w:noWrap/>
            <w:vAlign w:val="center"/>
          </w:tcPr>
          <w:p w14:paraId="194E44B3">
            <w:pPr>
              <w:pStyle w:val="277"/>
              <w:keepNext/>
              <w:spacing w:line="440" w:lineRule="exact"/>
              <w:ind w:left="63" w:right="63"/>
              <w:rPr>
                <w:rFonts w:ascii="宋体" w:hAnsi="宋体"/>
                <w:color w:val="auto"/>
                <w:sz w:val="21"/>
                <w:szCs w:val="21"/>
                <w:highlight w:val="none"/>
              </w:rPr>
            </w:pPr>
          </w:p>
        </w:tc>
        <w:tc>
          <w:tcPr>
            <w:tcW w:w="4252" w:type="dxa"/>
            <w:noWrap/>
            <w:vAlign w:val="center"/>
          </w:tcPr>
          <w:p w14:paraId="72D9C1C6">
            <w:pPr>
              <w:pStyle w:val="277"/>
              <w:keepNext/>
              <w:spacing w:line="440" w:lineRule="exact"/>
              <w:ind w:left="63" w:right="63"/>
              <w:rPr>
                <w:rFonts w:ascii="宋体" w:hAnsi="宋体"/>
                <w:color w:val="auto"/>
                <w:sz w:val="21"/>
                <w:szCs w:val="21"/>
                <w:highlight w:val="none"/>
              </w:rPr>
            </w:pPr>
          </w:p>
        </w:tc>
      </w:tr>
      <w:tr w14:paraId="30FB61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ign w:val="center"/>
          </w:tcPr>
          <w:p w14:paraId="01B10928">
            <w:pPr>
              <w:pStyle w:val="277"/>
              <w:keepNext/>
              <w:spacing w:line="440" w:lineRule="exact"/>
              <w:ind w:left="63" w:right="63"/>
              <w:rPr>
                <w:rFonts w:ascii="宋体" w:hAnsi="宋体"/>
                <w:color w:val="auto"/>
                <w:sz w:val="21"/>
                <w:szCs w:val="21"/>
                <w:highlight w:val="none"/>
              </w:rPr>
            </w:pPr>
          </w:p>
        </w:tc>
        <w:tc>
          <w:tcPr>
            <w:tcW w:w="1418" w:type="dxa"/>
            <w:noWrap/>
            <w:vAlign w:val="center"/>
          </w:tcPr>
          <w:p w14:paraId="26E00024">
            <w:pPr>
              <w:pStyle w:val="277"/>
              <w:keepNext/>
              <w:spacing w:line="440" w:lineRule="exact"/>
              <w:ind w:left="63" w:right="63"/>
              <w:rPr>
                <w:rFonts w:ascii="宋体" w:hAnsi="宋体"/>
                <w:color w:val="auto"/>
                <w:sz w:val="21"/>
                <w:szCs w:val="21"/>
                <w:highlight w:val="none"/>
              </w:rPr>
            </w:pPr>
          </w:p>
        </w:tc>
        <w:tc>
          <w:tcPr>
            <w:tcW w:w="1134" w:type="dxa"/>
            <w:noWrap/>
            <w:vAlign w:val="center"/>
          </w:tcPr>
          <w:p w14:paraId="6AD81A63">
            <w:pPr>
              <w:pStyle w:val="277"/>
              <w:keepNext/>
              <w:spacing w:line="440" w:lineRule="exact"/>
              <w:ind w:left="63" w:right="63"/>
              <w:rPr>
                <w:rFonts w:ascii="宋体" w:hAnsi="宋体"/>
                <w:color w:val="auto"/>
                <w:sz w:val="21"/>
                <w:szCs w:val="21"/>
                <w:highlight w:val="none"/>
              </w:rPr>
            </w:pPr>
          </w:p>
        </w:tc>
        <w:tc>
          <w:tcPr>
            <w:tcW w:w="1134" w:type="dxa"/>
            <w:noWrap/>
            <w:vAlign w:val="center"/>
          </w:tcPr>
          <w:p w14:paraId="272FDBD6">
            <w:pPr>
              <w:pStyle w:val="277"/>
              <w:keepNext/>
              <w:spacing w:line="440" w:lineRule="exact"/>
              <w:ind w:left="63" w:right="63"/>
              <w:rPr>
                <w:rFonts w:ascii="宋体" w:hAnsi="宋体"/>
                <w:color w:val="auto"/>
                <w:sz w:val="21"/>
                <w:szCs w:val="21"/>
                <w:highlight w:val="none"/>
              </w:rPr>
            </w:pPr>
          </w:p>
        </w:tc>
        <w:tc>
          <w:tcPr>
            <w:tcW w:w="4252" w:type="dxa"/>
            <w:noWrap/>
            <w:vAlign w:val="center"/>
          </w:tcPr>
          <w:p w14:paraId="5AD8E09E">
            <w:pPr>
              <w:pStyle w:val="277"/>
              <w:keepNext/>
              <w:spacing w:line="440" w:lineRule="exact"/>
              <w:ind w:left="63" w:right="63"/>
              <w:rPr>
                <w:rFonts w:ascii="宋体" w:hAnsi="宋体"/>
                <w:color w:val="auto"/>
                <w:sz w:val="21"/>
                <w:szCs w:val="21"/>
                <w:highlight w:val="none"/>
              </w:rPr>
            </w:pPr>
          </w:p>
        </w:tc>
      </w:tr>
      <w:tr w14:paraId="6D7253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ign w:val="center"/>
          </w:tcPr>
          <w:p w14:paraId="2609A8EC">
            <w:pPr>
              <w:pStyle w:val="277"/>
              <w:keepNext/>
              <w:spacing w:line="440" w:lineRule="exact"/>
              <w:ind w:left="63" w:right="63"/>
              <w:rPr>
                <w:rFonts w:ascii="宋体" w:hAnsi="宋体"/>
                <w:color w:val="auto"/>
                <w:sz w:val="21"/>
                <w:szCs w:val="21"/>
                <w:highlight w:val="none"/>
              </w:rPr>
            </w:pPr>
          </w:p>
        </w:tc>
        <w:tc>
          <w:tcPr>
            <w:tcW w:w="1418" w:type="dxa"/>
            <w:tcBorders>
              <w:bottom w:val="single" w:color="auto" w:sz="12" w:space="0"/>
            </w:tcBorders>
            <w:noWrap/>
            <w:vAlign w:val="center"/>
          </w:tcPr>
          <w:p w14:paraId="732DD929">
            <w:pPr>
              <w:pStyle w:val="277"/>
              <w:keepNext/>
              <w:spacing w:line="440" w:lineRule="exact"/>
              <w:ind w:left="63" w:right="63"/>
              <w:rPr>
                <w:rFonts w:ascii="宋体" w:hAnsi="宋体"/>
                <w:color w:val="auto"/>
                <w:sz w:val="21"/>
                <w:szCs w:val="21"/>
                <w:highlight w:val="none"/>
              </w:rPr>
            </w:pPr>
          </w:p>
        </w:tc>
        <w:tc>
          <w:tcPr>
            <w:tcW w:w="1134" w:type="dxa"/>
            <w:tcBorders>
              <w:bottom w:val="single" w:color="auto" w:sz="12" w:space="0"/>
            </w:tcBorders>
            <w:noWrap/>
            <w:vAlign w:val="center"/>
          </w:tcPr>
          <w:p w14:paraId="3EC029D6">
            <w:pPr>
              <w:pStyle w:val="277"/>
              <w:keepNext/>
              <w:spacing w:line="440" w:lineRule="exact"/>
              <w:ind w:left="63" w:right="63"/>
              <w:rPr>
                <w:rFonts w:ascii="宋体" w:hAnsi="宋体"/>
                <w:color w:val="auto"/>
                <w:sz w:val="21"/>
                <w:szCs w:val="21"/>
                <w:highlight w:val="none"/>
              </w:rPr>
            </w:pPr>
          </w:p>
        </w:tc>
        <w:tc>
          <w:tcPr>
            <w:tcW w:w="1134" w:type="dxa"/>
            <w:tcBorders>
              <w:bottom w:val="single" w:color="auto" w:sz="12" w:space="0"/>
            </w:tcBorders>
            <w:noWrap/>
            <w:vAlign w:val="center"/>
          </w:tcPr>
          <w:p w14:paraId="769A187F">
            <w:pPr>
              <w:pStyle w:val="277"/>
              <w:keepNext/>
              <w:spacing w:line="440" w:lineRule="exact"/>
              <w:ind w:left="63" w:right="63"/>
              <w:rPr>
                <w:rFonts w:ascii="宋体" w:hAnsi="宋体"/>
                <w:color w:val="auto"/>
                <w:sz w:val="21"/>
                <w:szCs w:val="21"/>
                <w:highlight w:val="none"/>
              </w:rPr>
            </w:pPr>
          </w:p>
        </w:tc>
        <w:tc>
          <w:tcPr>
            <w:tcW w:w="4252" w:type="dxa"/>
            <w:tcBorders>
              <w:bottom w:val="single" w:color="auto" w:sz="12" w:space="0"/>
            </w:tcBorders>
            <w:noWrap/>
            <w:vAlign w:val="center"/>
          </w:tcPr>
          <w:p w14:paraId="798D2C1E">
            <w:pPr>
              <w:pStyle w:val="277"/>
              <w:keepNext/>
              <w:spacing w:line="440" w:lineRule="exact"/>
              <w:ind w:left="63" w:right="63"/>
              <w:rPr>
                <w:rFonts w:ascii="宋体" w:hAnsi="宋体"/>
                <w:color w:val="auto"/>
                <w:sz w:val="21"/>
                <w:szCs w:val="21"/>
                <w:highlight w:val="none"/>
              </w:rPr>
            </w:pPr>
          </w:p>
        </w:tc>
      </w:tr>
    </w:tbl>
    <w:p w14:paraId="683B8AE7">
      <w:pPr>
        <w:pStyle w:val="271"/>
        <w:spacing w:line="360" w:lineRule="auto"/>
        <w:ind w:right="170" w:firstLine="420"/>
        <w:jc w:val="right"/>
        <w:rPr>
          <w:rFonts w:ascii="宋体" w:hAnsi="宋体"/>
          <w:b/>
          <w:color w:val="auto"/>
          <w:sz w:val="22"/>
          <w:szCs w:val="21"/>
          <w:highlight w:val="none"/>
        </w:rPr>
      </w:pPr>
    </w:p>
    <w:p w14:paraId="778FFB61">
      <w:pPr>
        <w:pStyle w:val="271"/>
        <w:spacing w:line="360" w:lineRule="auto"/>
        <w:rPr>
          <w:rFonts w:ascii="宋体" w:hAnsi="宋体"/>
          <w:b/>
          <w:color w:val="auto"/>
          <w:sz w:val="22"/>
          <w:szCs w:val="21"/>
          <w:highlight w:val="none"/>
        </w:rPr>
      </w:pPr>
    </w:p>
    <w:p w14:paraId="501E944B">
      <w:pPr>
        <w:pStyle w:val="271"/>
        <w:spacing w:line="360" w:lineRule="auto"/>
        <w:rPr>
          <w:rFonts w:ascii="宋体" w:hAnsi="宋体"/>
          <w:b/>
          <w:color w:val="auto"/>
          <w:sz w:val="22"/>
          <w:szCs w:val="21"/>
          <w:highlight w:val="none"/>
        </w:rPr>
      </w:pPr>
    </w:p>
    <w:p w14:paraId="33E6EB91">
      <w:pPr>
        <w:pStyle w:val="271"/>
        <w:spacing w:line="360" w:lineRule="auto"/>
        <w:rPr>
          <w:rFonts w:ascii="宋体" w:hAnsi="宋体"/>
          <w:b/>
          <w:color w:val="auto"/>
          <w:sz w:val="22"/>
          <w:szCs w:val="21"/>
          <w:highlight w:val="none"/>
        </w:rPr>
      </w:pPr>
    </w:p>
    <w:p w14:paraId="2739EA65">
      <w:pPr>
        <w:pStyle w:val="271"/>
        <w:spacing w:line="360" w:lineRule="auto"/>
        <w:rPr>
          <w:rFonts w:ascii="宋体" w:hAnsi="宋体"/>
          <w:b/>
          <w:color w:val="auto"/>
          <w:sz w:val="22"/>
          <w:szCs w:val="21"/>
          <w:highlight w:val="none"/>
        </w:rPr>
      </w:pPr>
    </w:p>
    <w:p w14:paraId="2296C50A">
      <w:pPr>
        <w:pStyle w:val="271"/>
        <w:spacing w:line="360" w:lineRule="auto"/>
        <w:rPr>
          <w:rFonts w:ascii="宋体" w:hAnsi="宋体"/>
          <w:b/>
          <w:color w:val="auto"/>
          <w:sz w:val="22"/>
          <w:szCs w:val="21"/>
          <w:highlight w:val="none"/>
        </w:rPr>
      </w:pPr>
    </w:p>
    <w:p w14:paraId="6C6035EA">
      <w:pPr>
        <w:pStyle w:val="43"/>
        <w:ind w:left="0" w:leftChars="0" w:firstLine="0" w:firstLineChars="0"/>
        <w:rPr>
          <w:rFonts w:asciiTheme="minorEastAsia" w:hAnsiTheme="minorEastAsia" w:eastAsiaTheme="minorEastAsia"/>
          <w:color w:val="auto"/>
          <w:sz w:val="21"/>
          <w:szCs w:val="21"/>
          <w:highlight w:val="none"/>
        </w:rPr>
      </w:pPr>
    </w:p>
    <w:sectPr>
      <w:pgSz w:w="11906" w:h="16838"/>
      <w:pgMar w:top="1440" w:right="1085" w:bottom="1440" w:left="1701"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8CEF154-A992-4ED6-A5FA-7EDD10938E9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72B9E6B-CCDC-476D-941F-432EA1D3EE6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363379CA-792E-4BAC-9DD8-512E9DF5F602}"/>
  </w:font>
  <w:font w:name="仿宋_GB2312">
    <w:panose1 w:val="02010609030101010101"/>
    <w:charset w:val="86"/>
    <w:family w:val="auto"/>
    <w:pitch w:val="default"/>
    <w:sig w:usb0="00000001" w:usb1="080E0000" w:usb2="00000000" w:usb3="00000000" w:csb0="00040000" w:csb1="00000000"/>
    <w:embedRegular r:id="rId4" w:fontKey="{40814280-D25E-4658-B2F5-AF2886DB964C}"/>
  </w:font>
  <w:font w:name="monospace">
    <w:altName w:val="Yu Gothic UI"/>
    <w:panose1 w:val="020B0503020202020204"/>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仿宋">
    <w:panose1 w:val="02010609060101010101"/>
    <w:charset w:val="86"/>
    <w:family w:val="auto"/>
    <w:pitch w:val="default"/>
    <w:sig w:usb0="800002BF" w:usb1="38CF7CFA" w:usb2="00000016" w:usb3="00000000" w:csb0="00040001" w:csb1="00000000"/>
    <w:embedRegular r:id="rId5" w:fontKey="{99496478-5617-4A23-B33A-8A66F099DC9F}"/>
  </w:font>
  <w:font w:name="楷体_GB2312">
    <w:panose1 w:val="02010609030101010101"/>
    <w:charset w:val="86"/>
    <w:family w:val="auto"/>
    <w:pitch w:val="default"/>
    <w:sig w:usb0="00000001" w:usb1="080E0000" w:usb2="00000000" w:usb3="00000000" w:csb0="00040000" w:csb1="00000000"/>
    <w:embedRegular r:id="rId6" w:fontKey="{49828219-B757-4170-8D62-952687EB6DBC}"/>
  </w:font>
  <w:font w:name="Cambria">
    <w:panose1 w:val="02040503050406030204"/>
    <w:charset w:val="00"/>
    <w:family w:val="auto"/>
    <w:pitch w:val="default"/>
    <w:sig w:usb0="E00006FF" w:usb1="420024FF" w:usb2="02000000" w:usb3="00000000" w:csb0="2000019F" w:csb1="00000000"/>
  </w:font>
  <w:font w:name="Verdana">
    <w:panose1 w:val="020B0604030504040204"/>
    <w:charset w:val="00"/>
    <w:family w:val="auto"/>
    <w:pitch w:val="default"/>
    <w:sig w:usb0="A00006FF" w:usb1="4000205B" w:usb2="00000010" w:usb3="00000000" w:csb0="2000019F" w:csb1="00000000"/>
  </w:font>
  <w:font w:name="Calisto MT">
    <w:altName w:val="Segoe Print"/>
    <w:panose1 w:val="02040603050505030304"/>
    <w:charset w:val="00"/>
    <w:family w:val="auto"/>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TimesNewRomanPSMT">
    <w:altName w:val="Times New Roman"/>
    <w:panose1 w:val="02020603050405020304"/>
    <w:charset w:val="00"/>
    <w:family w:val="auto"/>
    <w:pitch w:val="default"/>
    <w:sig w:usb0="00000000" w:usb1="00000000" w:usb2="00000000" w:usb3="00000000" w:csb0="00000000"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小标宋_GBK">
    <w:altName w:val="微软雅黑"/>
    <w:panose1 w:val="03000509000000000000"/>
    <w:charset w:val="86"/>
    <w:family w:val="auto"/>
    <w:pitch w:val="default"/>
    <w:sig w:usb0="00000000" w:usb1="0000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方正仿宋_GB2312">
    <w:panose1 w:val="02000000000000000000"/>
    <w:charset w:val="86"/>
    <w:family w:val="auto"/>
    <w:pitch w:val="default"/>
    <w:sig w:usb0="A00002BF" w:usb1="184F6CFA" w:usb2="00000012" w:usb3="00000000" w:csb0="00040001" w:csb1="00000000"/>
    <w:embedRegular r:id="rId7" w:fontKey="{EC7D1754-9917-4B39-AD49-CE123A24DE3B}"/>
  </w:font>
  <w:font w:name="华文中宋">
    <w:panose1 w:val="02010600040101010101"/>
    <w:charset w:val="86"/>
    <w:family w:val="auto"/>
    <w:pitch w:val="default"/>
    <w:sig w:usb0="00000287" w:usb1="080F0000" w:usb2="00000000" w:usb3="00000000" w:csb0="0004009F" w:csb1="DFD70000"/>
    <w:embedRegular r:id="rId8" w:fontKey="{E9F5F9E6-35BD-4A1B-8DFE-0B16B5250B85}"/>
  </w:font>
  <w:font w:name="MingLiU_HKSCS">
    <w:altName w:val="Sitka Text"/>
    <w:panose1 w:val="02020500000000000000"/>
    <w:charset w:val="00"/>
    <w:family w:val="auto"/>
    <w:pitch w:val="default"/>
    <w:sig w:usb0="00000000" w:usb1="00000000" w:usb2="00000000" w:usb3="00000000" w:csb0="00000000" w:csb1="00000000"/>
    <w:embedRegular r:id="rId9" w:fontKey="{4C669B1A-8032-4A61-AEE6-ABF7E1CFD793}"/>
  </w:font>
  <w:font w:name="Sitka Text">
    <w:panose1 w:val="02000505000000020004"/>
    <w:charset w:val="00"/>
    <w:family w:val="auto"/>
    <w:pitch w:val="default"/>
    <w:sig w:usb0="A00002EF" w:usb1="4000204B" w:usb2="00000000" w:usb3="00000000" w:csb0="2000019F" w:csb1="00000000"/>
  </w:font>
  <w:font w:name="Segoe UI Symbol">
    <w:panose1 w:val="020B0502040204020203"/>
    <w:charset w:val="00"/>
    <w:family w:val="auto"/>
    <w:pitch w:val="default"/>
    <w:sig w:usb0="800001E3" w:usb1="1200FFEF" w:usb2="00040000" w:usb3="04000000" w:csb0="00000001" w:csb1="40000000"/>
    <w:embedRegular r:id="rId10" w:fontKey="{252398B7-26C7-4809-8352-8FD460B2B878}"/>
  </w:font>
  <w:font w:name="WPSEMBED1">
    <w:panose1 w:val="02010609030101010101"/>
    <w:charset w:val="86"/>
    <w:family w:val="auto"/>
    <w:pitch w:val="default"/>
    <w:sig w:usb0="00000001" w:usb1="080E0000" w:usb2="00000000" w:usb3="00000000" w:csb0="00040000" w:csb1="00000000"/>
  </w:font>
  <w:font w:name="WPSEMBED2">
    <w:panose1 w:val="02010609030101010101"/>
    <w:charset w:val="86"/>
    <w:family w:val="auto"/>
    <w:pitch w:val="default"/>
    <w:sig w:usb0="00000001" w:usb1="080E0000" w:usb2="00000000" w:usb3="00000000" w:csb0="00040000" w:csb1="00000000"/>
  </w:font>
  <w:font w:name="WPSEMBED3">
    <w:panose1 w:val="02000000000000000000"/>
    <w:charset w:val="86"/>
    <w:family w:val="auto"/>
    <w:pitch w:val="default"/>
    <w:sig w:usb0="A00002BF" w:usb1="184F6CFA" w:usb2="00000012" w:usb3="00000000" w:csb0="00040001" w:csb1="00000000"/>
  </w:font>
  <w:font w:name="WPSEMBED4">
    <w:panose1 w:val="02010600040101010101"/>
    <w:charset w:val="86"/>
    <w:family w:val="auto"/>
    <w:pitch w:val="default"/>
    <w:sig w:usb0="00000287" w:usb1="080F0000" w:usb2="00000000" w:usb3="00000000" w:csb0="0004009F" w:csb1="DFD70000"/>
  </w:font>
  <w:font w:name="Arial">
    <w:panose1 w:val="020B0604020202020204"/>
    <w:charset w:val="00"/>
    <w:family w:val="auto"/>
    <w:pitch w:val="default"/>
    <w:sig w:usb0="E0002EFF" w:usb1="C000785B" w:usb2="00000009" w:usb3="00000000" w:csb0="400001FF" w:csb1="FFFF0000"/>
  </w:font>
  <w:font w:name="KSOF8080F95D">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3CD50">
    <w:pPr>
      <w:pStyle w:val="24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0645BED5">
                          <w:pPr>
                            <w:pStyle w:val="241"/>
                            <w:tabs>
                              <w:tab w:val="clear" w:pos="4153"/>
                              <w:tab w:val="clear" w:pos="8306"/>
                            </w:tabs>
                          </w:pPr>
                          <w:r>
                            <w:fldChar w:fldCharType="begin"/>
                          </w:r>
                          <w:r>
                            <w:instrText xml:space="preserve"> PAGE  \* MERGEFORMAT </w:instrText>
                          </w:r>
                          <w:r>
                            <w:fldChar w:fldCharType="separate"/>
                          </w:r>
                          <w:r>
                            <w:t>19</w:t>
                          </w:r>
                          <w:r>
                            <w:fldChar w:fldCharType="end"/>
                          </w:r>
                        </w:p>
                        <w:p w14:paraId="4A2248E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S5dvDtYBAAC1AwAADgAAAAAAAAABACAAAAAe&#10;AQAAZHJzL2Uyb0RvYy54bWxQSwUGAAAAAAYABgBZAQAAZgUAAAAA&#10;">
              <v:fill on="f" focussize="0,0"/>
              <v:stroke on="f"/>
              <v:imagedata o:title=""/>
              <o:lock v:ext="edit" aspectratio="f"/>
              <v:textbox inset="0mm,0mm,0mm,0mm" style="mso-fit-shape-to-text:t;">
                <w:txbxContent>
                  <w:p w14:paraId="0645BED5">
                    <w:pPr>
                      <w:pStyle w:val="241"/>
                      <w:tabs>
                        <w:tab w:val="clear" w:pos="4153"/>
                        <w:tab w:val="clear" w:pos="8306"/>
                      </w:tabs>
                    </w:pPr>
                    <w:r>
                      <w:fldChar w:fldCharType="begin"/>
                    </w:r>
                    <w:r>
                      <w:instrText xml:space="preserve"> PAGE  \* MERGEFORMAT </w:instrText>
                    </w:r>
                    <w:r>
                      <w:fldChar w:fldCharType="separate"/>
                    </w:r>
                    <w:r>
                      <w:t>19</w:t>
                    </w:r>
                    <w:r>
                      <w:fldChar w:fldCharType="end"/>
                    </w:r>
                  </w:p>
                  <w:p w14:paraId="4A2248E0"/>
                </w:txbxContent>
              </v:textbox>
            </v:shape>
          </w:pict>
        </mc:Fallback>
      </mc:AlternateContent>
    </w:r>
  </w:p>
  <w:p w14:paraId="3A08A8C6">
    <w:pPr>
      <w:pStyle w:val="24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B9610">
    <w:pPr>
      <w:pStyle w:val="24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5AA9D609">
                          <w:pPr>
                            <w:pStyle w:val="241"/>
                            <w:tabs>
                              <w:tab w:val="clear" w:pos="4153"/>
                              <w:tab w:val="clear" w:pos="8306"/>
                            </w:tabs>
                          </w:pPr>
                          <w:r>
                            <w:fldChar w:fldCharType="begin"/>
                          </w:r>
                          <w:r>
                            <w:instrText xml:space="preserve"> PAGE  \* MERGEFORMAT </w:instrText>
                          </w:r>
                          <w:r>
                            <w:fldChar w:fldCharType="separate"/>
                          </w:r>
                          <w:r>
                            <w:t>26</w:t>
                          </w:r>
                          <w:r>
                            <w:fldChar w:fldCharType="end"/>
                          </w:r>
                        </w:p>
                        <w:p w14:paraId="483158E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ETrsQfXAQAAtQMAAA4AAAAAAAAAAQAgAAAA&#10;HgEAAGRycy9lMm9Eb2MueG1sUEsFBgAAAAAGAAYAWQEAAGcFAAAAAA==&#10;">
              <v:fill on="f" focussize="0,0"/>
              <v:stroke on="f"/>
              <v:imagedata o:title=""/>
              <o:lock v:ext="edit" aspectratio="f"/>
              <v:textbox inset="0mm,0mm,0mm,0mm" style="mso-fit-shape-to-text:t;">
                <w:txbxContent>
                  <w:p w14:paraId="5AA9D609">
                    <w:pPr>
                      <w:pStyle w:val="241"/>
                      <w:tabs>
                        <w:tab w:val="clear" w:pos="4153"/>
                        <w:tab w:val="clear" w:pos="8306"/>
                      </w:tabs>
                    </w:pPr>
                    <w:r>
                      <w:fldChar w:fldCharType="begin"/>
                    </w:r>
                    <w:r>
                      <w:instrText xml:space="preserve"> PAGE  \* MERGEFORMAT </w:instrText>
                    </w:r>
                    <w:r>
                      <w:fldChar w:fldCharType="separate"/>
                    </w:r>
                    <w:r>
                      <w:t>26</w:t>
                    </w:r>
                    <w:r>
                      <w:fldChar w:fldCharType="end"/>
                    </w:r>
                  </w:p>
                  <w:p w14:paraId="483158E8"/>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6C6EE">
    <w:pPr>
      <w:pStyle w:val="24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0B330B3A">
                          <w:pPr>
                            <w:pStyle w:val="241"/>
                            <w:tabs>
                              <w:tab w:val="clear" w:pos="4153"/>
                              <w:tab w:val="clear" w:pos="8306"/>
                            </w:tabs>
                          </w:pPr>
                          <w:r>
                            <w:fldChar w:fldCharType="begin"/>
                          </w:r>
                          <w:r>
                            <w:instrText xml:space="preserve"> PAGE  \* MERGEFORMAT </w:instrText>
                          </w:r>
                          <w:r>
                            <w:fldChar w:fldCharType="separate"/>
                          </w:r>
                          <w:r>
                            <w:t>33</w:t>
                          </w:r>
                          <w:r>
                            <w:fldChar w:fldCharType="end"/>
                          </w:r>
                        </w:p>
                        <w:p w14:paraId="295462B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j0rttkBAAC1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RI/JCTK8Tr9T/yDAOzTCRbaA9&#10;I60el6KmFv8AJfqdRc3T/syGn41mNo7Oq0OHjS5zl8HdoR57lTtNtUZYZJguOM3Mddq8tC5/33PW&#10;n9+2/Q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OqXm5zwAAAAUBAAAPAAAAAAAAAAEAIAAAACIA&#10;AABkcnMvZG93bnJldi54bWxQSwECFAAUAAAACACHTuJAfj0rttkBAAC1AwAADgAAAAAAAAABACAA&#10;AAAeAQAAZHJzL2Uyb0RvYy54bWxQSwUGAAAAAAYABgBZAQAAaQUAAAAA&#10;">
              <v:fill on="f" focussize="0,0"/>
              <v:stroke on="f"/>
              <v:imagedata o:title=""/>
              <o:lock v:ext="edit" aspectratio="f"/>
              <v:textbox inset="0mm,0mm,0mm,0mm" style="mso-fit-shape-to-text:t;">
                <w:txbxContent>
                  <w:p w14:paraId="0B330B3A">
                    <w:pPr>
                      <w:pStyle w:val="241"/>
                      <w:tabs>
                        <w:tab w:val="clear" w:pos="4153"/>
                        <w:tab w:val="clear" w:pos="8306"/>
                      </w:tabs>
                    </w:pPr>
                    <w:r>
                      <w:fldChar w:fldCharType="begin"/>
                    </w:r>
                    <w:r>
                      <w:instrText xml:space="preserve"> PAGE  \* MERGEFORMAT </w:instrText>
                    </w:r>
                    <w:r>
                      <w:fldChar w:fldCharType="separate"/>
                    </w:r>
                    <w:r>
                      <w:t>33</w:t>
                    </w:r>
                    <w:r>
                      <w:fldChar w:fldCharType="end"/>
                    </w:r>
                  </w:p>
                  <w:p w14:paraId="295462B0"/>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4CDF9">
    <w:pPr>
      <w:pStyle w:val="241"/>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21E01AD6">
                          <w:pPr>
                            <w:pStyle w:val="241"/>
                            <w:tabs>
                              <w:tab w:val="clear" w:pos="4153"/>
                              <w:tab w:val="clear" w:pos="8306"/>
                            </w:tabs>
                          </w:pPr>
                          <w:r>
                            <w:fldChar w:fldCharType="begin"/>
                          </w:r>
                          <w:r>
                            <w:instrText xml:space="preserve"> PAGE  \* MERGEFORMAT </w:instrText>
                          </w:r>
                          <w:r>
                            <w:fldChar w:fldCharType="separate"/>
                          </w:r>
                          <w:r>
                            <w:t>44</w:t>
                          </w:r>
                          <w:r>
                            <w:fldChar w:fldCharType="end"/>
                          </w:r>
                        </w:p>
                        <w:p w14:paraId="5DA603B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hMNFNkBAAC1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RI/JCTK8Tr9T/yDAOzTCRbaA9&#10;I60el6KmFv8AJfqdRc3T/syGn41mNo7Oq0OHjS5zl8HdoR57lTtNtUZYZJguOM3Mddq8tC5/33PW&#10;n9+2/Q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OqXm5zwAAAAUBAAAPAAAAAAAAAAEAIAAAACIA&#10;AABkcnMvZG93bnJldi54bWxQSwECFAAUAAAACACHTuJAWhMNFNkBAAC1AwAADgAAAAAAAAABACAA&#10;AAAeAQAAZHJzL2Uyb0RvYy54bWxQSwUGAAAAAAYABgBZAQAAaQUAAAAA&#10;">
              <v:fill on="f" focussize="0,0"/>
              <v:stroke on="f"/>
              <v:imagedata o:title=""/>
              <o:lock v:ext="edit" aspectratio="f"/>
              <v:textbox inset="0mm,0mm,0mm,0mm" style="mso-fit-shape-to-text:t;">
                <w:txbxContent>
                  <w:p w14:paraId="21E01AD6">
                    <w:pPr>
                      <w:pStyle w:val="241"/>
                      <w:tabs>
                        <w:tab w:val="clear" w:pos="4153"/>
                        <w:tab w:val="clear" w:pos="8306"/>
                      </w:tabs>
                    </w:pPr>
                    <w:r>
                      <w:fldChar w:fldCharType="begin"/>
                    </w:r>
                    <w:r>
                      <w:instrText xml:space="preserve"> PAGE  \* MERGEFORMAT </w:instrText>
                    </w:r>
                    <w:r>
                      <w:fldChar w:fldCharType="separate"/>
                    </w:r>
                    <w:r>
                      <w:t>44</w:t>
                    </w:r>
                    <w:r>
                      <w:fldChar w:fldCharType="end"/>
                    </w:r>
                  </w:p>
                  <w:p w14:paraId="5DA603B7"/>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532D78">
    <w:pPr>
      <w:pStyle w:val="247"/>
      <w:jc w:val="center"/>
    </w:pPr>
    <w:r>
      <w:fldChar w:fldCharType="begin"/>
    </w:r>
    <w:r>
      <w:instrText xml:space="preserve"> PAGE   \* MERGEFORMAT </w:instrText>
    </w:r>
    <w:r>
      <w:fldChar w:fldCharType="separate"/>
    </w:r>
    <w:r>
      <w:t>45</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6AAC35">
    <w:pPr>
      <w:pStyle w:val="242"/>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DA6EE">
    <w:pPr>
      <w:pStyle w:val="242"/>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B7A9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chineseCountingThousand"/>
      <w:lvlText w:val="%1、"/>
      <w:lvlJc w:val="left"/>
      <w:pPr>
        <w:tabs>
          <w:tab w:val="left" w:pos="552"/>
        </w:tabs>
        <w:ind w:left="552" w:hanging="420"/>
      </w:pPr>
      <w:rPr>
        <w:rFonts w:hint="eastAsia"/>
        <w:color w:val="000000"/>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1"/>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NkMTJiYjA5MzUxMjFmN2RlMTAzNzY5MTE3YzE2ODAifQ=="/>
  </w:docVars>
  <w:rsids>
    <w:rsidRoot w:val="00000000"/>
    <w:rsid w:val="006D2A98"/>
    <w:rsid w:val="02856BC7"/>
    <w:rsid w:val="033D6294"/>
    <w:rsid w:val="04814C0E"/>
    <w:rsid w:val="07751247"/>
    <w:rsid w:val="07AB7AA2"/>
    <w:rsid w:val="097D5B70"/>
    <w:rsid w:val="099549E3"/>
    <w:rsid w:val="09DA372D"/>
    <w:rsid w:val="0A430D0D"/>
    <w:rsid w:val="0F2C50BF"/>
    <w:rsid w:val="0FD77F2D"/>
    <w:rsid w:val="11C24C0D"/>
    <w:rsid w:val="15322425"/>
    <w:rsid w:val="19257F5C"/>
    <w:rsid w:val="1A8962C8"/>
    <w:rsid w:val="1B2A79EA"/>
    <w:rsid w:val="1C964CCC"/>
    <w:rsid w:val="25B32B7C"/>
    <w:rsid w:val="26E31456"/>
    <w:rsid w:val="28726E69"/>
    <w:rsid w:val="28A07622"/>
    <w:rsid w:val="28D220AC"/>
    <w:rsid w:val="29D6788B"/>
    <w:rsid w:val="2C9A4365"/>
    <w:rsid w:val="2E6609A2"/>
    <w:rsid w:val="30717AD3"/>
    <w:rsid w:val="315D764B"/>
    <w:rsid w:val="31FB7654"/>
    <w:rsid w:val="32491DB3"/>
    <w:rsid w:val="328D56F3"/>
    <w:rsid w:val="340F5638"/>
    <w:rsid w:val="358409C7"/>
    <w:rsid w:val="36260A17"/>
    <w:rsid w:val="36941F31"/>
    <w:rsid w:val="36ED4694"/>
    <w:rsid w:val="37AF4CE7"/>
    <w:rsid w:val="390B6DF0"/>
    <w:rsid w:val="3B337E5E"/>
    <w:rsid w:val="3D2860FD"/>
    <w:rsid w:val="3E9C4FE5"/>
    <w:rsid w:val="3EF913BF"/>
    <w:rsid w:val="3FC67AC6"/>
    <w:rsid w:val="408272FA"/>
    <w:rsid w:val="408353E4"/>
    <w:rsid w:val="411A5F07"/>
    <w:rsid w:val="417A3171"/>
    <w:rsid w:val="4207560F"/>
    <w:rsid w:val="433F0D29"/>
    <w:rsid w:val="4473751E"/>
    <w:rsid w:val="45AA6F6F"/>
    <w:rsid w:val="466B3BB5"/>
    <w:rsid w:val="47095F17"/>
    <w:rsid w:val="4CAC1A39"/>
    <w:rsid w:val="4D5320E8"/>
    <w:rsid w:val="4FFD0209"/>
    <w:rsid w:val="522C6B8E"/>
    <w:rsid w:val="59DA2DEB"/>
    <w:rsid w:val="5A9E4DEA"/>
    <w:rsid w:val="5BCC1717"/>
    <w:rsid w:val="5E5A354E"/>
    <w:rsid w:val="5E86516E"/>
    <w:rsid w:val="5E985FF6"/>
    <w:rsid w:val="5F6F3EB3"/>
    <w:rsid w:val="5FBB0035"/>
    <w:rsid w:val="60136A83"/>
    <w:rsid w:val="60775143"/>
    <w:rsid w:val="60E43825"/>
    <w:rsid w:val="61D4389A"/>
    <w:rsid w:val="61E67129"/>
    <w:rsid w:val="620D6DAC"/>
    <w:rsid w:val="62603BE2"/>
    <w:rsid w:val="62A6661D"/>
    <w:rsid w:val="631F0B45"/>
    <w:rsid w:val="63C96D02"/>
    <w:rsid w:val="64281C7B"/>
    <w:rsid w:val="64B23251"/>
    <w:rsid w:val="64E536C8"/>
    <w:rsid w:val="65CB0B10"/>
    <w:rsid w:val="67E5652D"/>
    <w:rsid w:val="6E9D2ABA"/>
    <w:rsid w:val="6FBD1430"/>
    <w:rsid w:val="706F6F2F"/>
    <w:rsid w:val="70E3698E"/>
    <w:rsid w:val="726C7FC6"/>
    <w:rsid w:val="74E120FE"/>
    <w:rsid w:val="76FD2AF3"/>
    <w:rsid w:val="77143214"/>
    <w:rsid w:val="7AAD2296"/>
    <w:rsid w:val="7EE768E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9"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0" w:semiHidden="0"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0" w:semiHidden="0" w:name="caption"/>
    <w:lsdException w:qFormat="1" w:uiPriority="0" w:semiHidden="0" w:name="table of figures"/>
    <w:lsdException w:uiPriority="99" w:name="envelope address"/>
    <w:lsdException w:uiPriority="99" w:name="envelope return"/>
    <w:lsdException w:qFormat="1" w:uiPriority="0" w:semiHidden="0" w:name="footnote reference"/>
    <w:lsdException w:qFormat="1" w:uiPriority="0" w:semiHidden="0" w:name="annotation reference"/>
    <w:lsdException w:uiPriority="99" w:name="line number"/>
    <w:lsdException w:qFormat="1" w:unhideWhenUsed="0" w:uiPriority="0" w:semiHidden="0" w:name="page number"/>
    <w:lsdException w:qFormat="1" w:uiPriority="99" w:name="endnote reference"/>
    <w:lsdException w:qFormat="1"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qFormat="1" w:uiPriority="0" w:semiHidden="0" w:name="HTML Acronym"/>
    <w:lsdException w:uiPriority="99"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uiPriority="99" w:name="HTML Preformatted"/>
    <w:lsdException w:qFormat="1" w:uiPriority="0" w:semiHidden="0" w:name="HTML Sample"/>
    <w:lsdException w:qFormat="1" w:uiPriority="0" w:semiHidden="0" w:name="HTML Typewriter"/>
    <w:lsdException w:qFormat="1" w:uiPriority="0" w:semiHidden="0"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4"/>
      <w:szCs w:val="24"/>
      <w:lang w:val="en-US" w:eastAsia="zh-CN" w:bidi="ar-SA"/>
    </w:rPr>
  </w:style>
  <w:style w:type="paragraph" w:styleId="2">
    <w:name w:val="heading 1"/>
    <w:basedOn w:val="1"/>
    <w:next w:val="1"/>
    <w:link w:val="87"/>
    <w:qFormat/>
    <w:uiPriority w:val="0"/>
    <w:pPr>
      <w:keepNext/>
      <w:keepLines/>
      <w:spacing w:before="480" w:after="200"/>
      <w:outlineLvl w:val="0"/>
    </w:pPr>
    <w:rPr>
      <w:rFonts w:ascii="Arial" w:hAnsi="Arial" w:eastAsia="Arial" w:cs="Arial"/>
      <w:sz w:val="40"/>
      <w:szCs w:val="40"/>
    </w:rPr>
  </w:style>
  <w:style w:type="paragraph" w:styleId="3">
    <w:name w:val="heading 2"/>
    <w:basedOn w:val="1"/>
    <w:next w:val="1"/>
    <w:link w:val="88"/>
    <w:unhideWhenUsed/>
    <w:qFormat/>
    <w:uiPriority w:val="0"/>
    <w:pPr>
      <w:keepNext/>
      <w:keepLines/>
      <w:spacing w:before="360" w:after="200"/>
      <w:outlineLvl w:val="1"/>
    </w:pPr>
    <w:rPr>
      <w:rFonts w:ascii="Arial" w:hAnsi="Arial" w:eastAsia="Arial" w:cs="Arial"/>
      <w:sz w:val="34"/>
    </w:rPr>
  </w:style>
  <w:style w:type="paragraph" w:styleId="4">
    <w:name w:val="heading 3"/>
    <w:basedOn w:val="1"/>
    <w:next w:val="1"/>
    <w:link w:val="89"/>
    <w:unhideWhenUsed/>
    <w:qFormat/>
    <w:uiPriority w:val="0"/>
    <w:pPr>
      <w:keepNext/>
      <w:keepLines/>
      <w:spacing w:before="320" w:after="200"/>
      <w:outlineLvl w:val="2"/>
    </w:pPr>
    <w:rPr>
      <w:rFonts w:ascii="Arial" w:hAnsi="Arial" w:eastAsia="Arial" w:cs="Arial"/>
      <w:sz w:val="30"/>
      <w:szCs w:val="30"/>
    </w:rPr>
  </w:style>
  <w:style w:type="paragraph" w:styleId="5">
    <w:name w:val="heading 4"/>
    <w:basedOn w:val="1"/>
    <w:next w:val="1"/>
    <w:link w:val="90"/>
    <w:unhideWhenUsed/>
    <w:qFormat/>
    <w:uiPriority w:val="0"/>
    <w:pPr>
      <w:keepNext/>
      <w:keepLines/>
      <w:spacing w:before="320" w:after="200"/>
      <w:outlineLvl w:val="3"/>
    </w:pPr>
    <w:rPr>
      <w:rFonts w:ascii="Arial" w:hAnsi="Arial" w:eastAsia="Arial" w:cs="Arial"/>
      <w:b/>
      <w:bCs/>
      <w:sz w:val="26"/>
      <w:szCs w:val="26"/>
    </w:rPr>
  </w:style>
  <w:style w:type="paragraph" w:styleId="6">
    <w:name w:val="heading 5"/>
    <w:basedOn w:val="1"/>
    <w:next w:val="1"/>
    <w:link w:val="91"/>
    <w:unhideWhenUsed/>
    <w:qFormat/>
    <w:uiPriority w:val="9"/>
    <w:pPr>
      <w:keepNext/>
      <w:keepLines/>
      <w:spacing w:before="320" w:after="200"/>
      <w:outlineLvl w:val="4"/>
    </w:pPr>
    <w:rPr>
      <w:rFonts w:ascii="Arial" w:hAnsi="Arial" w:eastAsia="Arial" w:cs="Arial"/>
      <w:b/>
      <w:bCs/>
    </w:rPr>
  </w:style>
  <w:style w:type="paragraph" w:styleId="7">
    <w:name w:val="heading 6"/>
    <w:basedOn w:val="1"/>
    <w:next w:val="1"/>
    <w:link w:val="92"/>
    <w:unhideWhenUsed/>
    <w:qFormat/>
    <w:uiPriority w:val="0"/>
    <w:pPr>
      <w:keepNext/>
      <w:keepLines/>
      <w:spacing w:before="320" w:after="200"/>
      <w:outlineLvl w:val="5"/>
    </w:pPr>
    <w:rPr>
      <w:rFonts w:ascii="Arial" w:hAnsi="Arial" w:eastAsia="Arial" w:cs="Arial"/>
      <w:b/>
      <w:bCs/>
      <w:sz w:val="22"/>
      <w:szCs w:val="22"/>
    </w:rPr>
  </w:style>
  <w:style w:type="paragraph" w:styleId="8">
    <w:name w:val="heading 7"/>
    <w:basedOn w:val="1"/>
    <w:next w:val="1"/>
    <w:link w:val="93"/>
    <w:unhideWhenUsed/>
    <w:qFormat/>
    <w:uiPriority w:val="0"/>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94"/>
    <w:unhideWhenUsed/>
    <w:qFormat/>
    <w:uiPriority w:val="0"/>
    <w:pPr>
      <w:keepNext/>
      <w:keepLines/>
      <w:spacing w:before="320" w:after="200"/>
      <w:outlineLvl w:val="7"/>
    </w:pPr>
    <w:rPr>
      <w:rFonts w:ascii="Arial" w:hAnsi="Arial" w:eastAsia="Arial" w:cs="Arial"/>
      <w:i/>
      <w:iCs/>
      <w:sz w:val="22"/>
      <w:szCs w:val="22"/>
    </w:rPr>
  </w:style>
  <w:style w:type="paragraph" w:styleId="10">
    <w:name w:val="heading 9"/>
    <w:basedOn w:val="1"/>
    <w:next w:val="1"/>
    <w:link w:val="95"/>
    <w:unhideWhenUsed/>
    <w:qFormat/>
    <w:uiPriority w:val="0"/>
    <w:pPr>
      <w:keepNext/>
      <w:keepLines/>
      <w:spacing w:before="320" w:after="200"/>
      <w:outlineLvl w:val="8"/>
    </w:pPr>
    <w:rPr>
      <w:rFonts w:ascii="Arial" w:hAnsi="Arial" w:eastAsia="Arial" w:cs="Arial"/>
      <w:i/>
      <w:iCs/>
      <w:sz w:val="21"/>
      <w:szCs w:val="21"/>
    </w:rPr>
  </w:style>
  <w:style w:type="character" w:default="1" w:styleId="47">
    <w:name w:val="Default Paragraph Font"/>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99"/>
    <w:pPr>
      <w:ind w:firstLine="420"/>
    </w:pPr>
    <w:rPr>
      <w:szCs w:val="21"/>
    </w:rPr>
  </w:style>
  <w:style w:type="paragraph" w:styleId="13">
    <w:name w:val="caption"/>
    <w:basedOn w:val="1"/>
    <w:next w:val="1"/>
    <w:unhideWhenUsed/>
    <w:qFormat/>
    <w:uiPriority w:val="0"/>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295"/>
    <w:qFormat/>
    <w:uiPriority w:val="0"/>
    <w:rPr>
      <w:rFonts w:ascii="宋体"/>
      <w:sz w:val="18"/>
      <w:szCs w:val="18"/>
    </w:rPr>
  </w:style>
  <w:style w:type="paragraph" w:styleId="15">
    <w:name w:val="annotation text"/>
    <w:basedOn w:val="1"/>
    <w:link w:val="265"/>
    <w:qFormat/>
    <w:uiPriority w:val="0"/>
    <w:pPr>
      <w:jc w:val="left"/>
    </w:pPr>
  </w:style>
  <w:style w:type="paragraph" w:styleId="16">
    <w:name w:val="Body Text 3"/>
    <w:basedOn w:val="1"/>
    <w:link w:val="296"/>
    <w:qFormat/>
    <w:uiPriority w:val="0"/>
    <w:pPr>
      <w:spacing w:after="120"/>
    </w:pPr>
    <w:rPr>
      <w:sz w:val="16"/>
      <w:szCs w:val="16"/>
    </w:rPr>
  </w:style>
  <w:style w:type="paragraph" w:styleId="17">
    <w:name w:val="Body Text"/>
    <w:basedOn w:val="1"/>
    <w:next w:val="18"/>
    <w:link w:val="297"/>
    <w:qFormat/>
    <w:uiPriority w:val="0"/>
    <w:pPr>
      <w:spacing w:after="120"/>
    </w:pPr>
  </w:style>
  <w:style w:type="paragraph" w:styleId="18">
    <w:name w:val="toc 2"/>
    <w:basedOn w:val="1"/>
    <w:next w:val="1"/>
    <w:unhideWhenUsed/>
    <w:qFormat/>
    <w:uiPriority w:val="39"/>
    <w:pPr>
      <w:spacing w:after="57"/>
      <w:ind w:left="283"/>
    </w:pPr>
  </w:style>
  <w:style w:type="paragraph" w:styleId="19">
    <w:name w:val="Body Text Indent"/>
    <w:basedOn w:val="1"/>
    <w:link w:val="298"/>
    <w:qFormat/>
    <w:uiPriority w:val="0"/>
    <w:pPr>
      <w:spacing w:before="240" w:line="360" w:lineRule="auto"/>
      <w:ind w:firstLine="552"/>
    </w:pPr>
    <w:rPr>
      <w:rFonts w:ascii="宋体" w:hAnsi="宋体"/>
      <w:sz w:val="21"/>
      <w:szCs w:val="20"/>
    </w:rPr>
  </w:style>
  <w:style w:type="paragraph" w:styleId="20">
    <w:name w:val="index 4"/>
    <w:basedOn w:val="1"/>
    <w:next w:val="1"/>
    <w:qFormat/>
    <w:uiPriority w:val="0"/>
    <w:pPr>
      <w:ind w:left="600"/>
    </w:pPr>
    <w:rPr>
      <w:sz w:val="21"/>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link w:val="299"/>
    <w:qFormat/>
    <w:uiPriority w:val="0"/>
    <w:rPr>
      <w:rFonts w:ascii="宋体" w:hAnsi="Courier New"/>
      <w:sz w:val="21"/>
    </w:rPr>
  </w:style>
  <w:style w:type="paragraph" w:styleId="24">
    <w:name w:val="toc 8"/>
    <w:basedOn w:val="1"/>
    <w:next w:val="1"/>
    <w:unhideWhenUsed/>
    <w:qFormat/>
    <w:uiPriority w:val="39"/>
    <w:pPr>
      <w:spacing w:after="57"/>
      <w:ind w:left="1984"/>
    </w:pPr>
  </w:style>
  <w:style w:type="paragraph" w:styleId="25">
    <w:name w:val="Date"/>
    <w:basedOn w:val="1"/>
    <w:next w:val="1"/>
    <w:link w:val="300"/>
    <w:qFormat/>
    <w:uiPriority w:val="0"/>
    <w:pPr>
      <w:ind w:left="100"/>
    </w:pPr>
    <w:rPr>
      <w:sz w:val="21"/>
    </w:rPr>
  </w:style>
  <w:style w:type="paragraph" w:styleId="26">
    <w:name w:val="Body Text Indent 2"/>
    <w:basedOn w:val="1"/>
    <w:link w:val="301"/>
    <w:qFormat/>
    <w:uiPriority w:val="0"/>
    <w:pPr>
      <w:spacing w:after="120" w:line="480" w:lineRule="auto"/>
      <w:ind w:left="420"/>
    </w:pPr>
    <w:rPr>
      <w:sz w:val="21"/>
    </w:rPr>
  </w:style>
  <w:style w:type="paragraph" w:styleId="27">
    <w:name w:val="endnote text"/>
    <w:basedOn w:val="1"/>
    <w:link w:val="233"/>
    <w:unhideWhenUsed/>
    <w:qFormat/>
    <w:uiPriority w:val="0"/>
    <w:rPr>
      <w:sz w:val="20"/>
    </w:rPr>
  </w:style>
  <w:style w:type="paragraph" w:styleId="28">
    <w:name w:val="Balloon Text"/>
    <w:basedOn w:val="1"/>
    <w:link w:val="264"/>
    <w:unhideWhenUsed/>
    <w:qFormat/>
    <w:uiPriority w:val="0"/>
    <w:rPr>
      <w:sz w:val="18"/>
      <w:szCs w:val="18"/>
    </w:rPr>
  </w:style>
  <w:style w:type="paragraph" w:styleId="29">
    <w:name w:val="footer"/>
    <w:basedOn w:val="1"/>
    <w:link w:val="106"/>
    <w:unhideWhenUsed/>
    <w:qFormat/>
    <w:uiPriority w:val="99"/>
    <w:pPr>
      <w:tabs>
        <w:tab w:val="center" w:pos="7143"/>
        <w:tab w:val="right" w:pos="14287"/>
      </w:tabs>
    </w:pPr>
  </w:style>
  <w:style w:type="paragraph" w:styleId="30">
    <w:name w:val="header"/>
    <w:basedOn w:val="1"/>
    <w:link w:val="104"/>
    <w:unhideWhenUsed/>
    <w:qFormat/>
    <w:uiPriority w:val="0"/>
    <w:pPr>
      <w:tabs>
        <w:tab w:val="center" w:pos="7143"/>
        <w:tab w:val="right" w:pos="14287"/>
      </w:tabs>
    </w:p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99"/>
    <w:qFormat/>
    <w:uiPriority w:val="0"/>
    <w:pPr>
      <w:spacing w:before="200" w:after="200"/>
    </w:pPr>
  </w:style>
  <w:style w:type="paragraph" w:styleId="34">
    <w:name w:val="footnote text"/>
    <w:basedOn w:val="1"/>
    <w:link w:val="232"/>
    <w:unhideWhenUsed/>
    <w:qFormat/>
    <w:uiPriority w:val="0"/>
    <w:pPr>
      <w:spacing w:after="40"/>
    </w:pPr>
    <w:rPr>
      <w:sz w:val="18"/>
    </w:rPr>
  </w:style>
  <w:style w:type="paragraph" w:styleId="35">
    <w:name w:val="toc 6"/>
    <w:basedOn w:val="1"/>
    <w:next w:val="1"/>
    <w:unhideWhenUsed/>
    <w:qFormat/>
    <w:uiPriority w:val="39"/>
    <w:pPr>
      <w:spacing w:after="57"/>
      <w:ind w:left="1417"/>
    </w:pPr>
  </w:style>
  <w:style w:type="paragraph" w:styleId="36">
    <w:name w:val="Body Text Indent 3"/>
    <w:basedOn w:val="1"/>
    <w:link w:val="302"/>
    <w:qFormat/>
    <w:uiPriority w:val="0"/>
    <w:pPr>
      <w:spacing w:after="120"/>
      <w:ind w:left="420"/>
    </w:pPr>
    <w:rPr>
      <w:rFonts w:ascii="Calibri" w:hAnsi="Calibri"/>
      <w:sz w:val="16"/>
      <w:szCs w:val="16"/>
    </w:rPr>
  </w:style>
  <w:style w:type="paragraph" w:styleId="37">
    <w:name w:val="table of figures"/>
    <w:basedOn w:val="1"/>
    <w:next w:val="1"/>
    <w:unhideWhenUsed/>
    <w:qFormat/>
    <w:uiPriority w:val="0"/>
  </w:style>
  <w:style w:type="paragraph" w:styleId="38">
    <w:name w:val="toc 9"/>
    <w:basedOn w:val="1"/>
    <w:next w:val="1"/>
    <w:unhideWhenUsed/>
    <w:qFormat/>
    <w:uiPriority w:val="39"/>
    <w:pPr>
      <w:spacing w:after="57"/>
      <w:ind w:left="2268"/>
    </w:pPr>
  </w:style>
  <w:style w:type="paragraph" w:styleId="39">
    <w:name w:val="Normal (Web)"/>
    <w:basedOn w:val="1"/>
    <w:unhideWhenUsed/>
    <w:qFormat/>
    <w:uiPriority w:val="99"/>
    <w:pPr>
      <w:widowControl/>
      <w:spacing w:before="100" w:beforeAutospacing="1" w:after="100" w:afterAutospacing="1"/>
      <w:jc w:val="left"/>
    </w:pPr>
    <w:rPr>
      <w:rFonts w:ascii="宋体" w:hAnsi="宋体" w:cs="宋体"/>
    </w:rPr>
  </w:style>
  <w:style w:type="paragraph" w:styleId="40">
    <w:name w:val="index 1"/>
    <w:basedOn w:val="1"/>
    <w:next w:val="1"/>
    <w:qFormat/>
    <w:uiPriority w:val="0"/>
    <w:pPr>
      <w:spacing w:line="220" w:lineRule="exact"/>
      <w:jc w:val="center"/>
    </w:pPr>
    <w:rPr>
      <w:rFonts w:ascii="仿宋_GB2312" w:hAnsi="Calibri" w:eastAsia="仿宋_GB2312"/>
      <w:sz w:val="21"/>
      <w:szCs w:val="21"/>
    </w:rPr>
  </w:style>
  <w:style w:type="paragraph" w:styleId="41">
    <w:name w:val="Title"/>
    <w:basedOn w:val="1"/>
    <w:next w:val="1"/>
    <w:link w:val="98"/>
    <w:qFormat/>
    <w:uiPriority w:val="0"/>
    <w:pPr>
      <w:spacing w:before="300" w:after="200"/>
      <w:contextualSpacing/>
    </w:pPr>
    <w:rPr>
      <w:sz w:val="48"/>
      <w:szCs w:val="48"/>
    </w:rPr>
  </w:style>
  <w:style w:type="paragraph" w:styleId="42">
    <w:name w:val="annotation subject"/>
    <w:basedOn w:val="15"/>
    <w:next w:val="15"/>
    <w:link w:val="266"/>
    <w:unhideWhenUsed/>
    <w:qFormat/>
    <w:uiPriority w:val="0"/>
    <w:rPr>
      <w:b/>
      <w:bCs/>
    </w:rPr>
  </w:style>
  <w:style w:type="paragraph" w:styleId="43">
    <w:name w:val="Body Text First Indent"/>
    <w:basedOn w:val="17"/>
    <w:link w:val="303"/>
    <w:qFormat/>
    <w:uiPriority w:val="0"/>
    <w:pPr>
      <w:spacing w:line="360" w:lineRule="auto"/>
      <w:ind w:firstLine="200"/>
    </w:pPr>
    <w:rPr>
      <w:rFonts w:ascii="仿宋_GB2312" w:hAnsi="Arial" w:eastAsia="仿宋_GB2312"/>
      <w:sz w:val="30"/>
      <w:szCs w:val="30"/>
    </w:rPr>
  </w:style>
  <w:style w:type="paragraph" w:styleId="44">
    <w:name w:val="Body Text First Indent 2"/>
    <w:basedOn w:val="19"/>
    <w:link w:val="304"/>
    <w:qFormat/>
    <w:uiPriority w:val="0"/>
    <w:pPr>
      <w:spacing w:before="0" w:after="120" w:line="240" w:lineRule="auto"/>
      <w:ind w:left="420" w:firstLine="420"/>
    </w:pPr>
    <w:rPr>
      <w:szCs w:val="24"/>
    </w:rPr>
  </w:style>
  <w:style w:type="table" w:styleId="4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8">
    <w:name w:val="Strong"/>
    <w:basedOn w:val="47"/>
    <w:qFormat/>
    <w:uiPriority w:val="0"/>
    <w:rPr>
      <w:b/>
      <w:bCs/>
    </w:rPr>
  </w:style>
  <w:style w:type="character" w:styleId="49">
    <w:name w:val="endnote reference"/>
    <w:semiHidden/>
    <w:unhideWhenUsed/>
    <w:qFormat/>
    <w:uiPriority w:val="99"/>
    <w:rPr>
      <w:vertAlign w:val="superscript"/>
    </w:rPr>
  </w:style>
  <w:style w:type="character" w:styleId="50">
    <w:name w:val="page number"/>
    <w:qFormat/>
    <w:uiPriority w:val="0"/>
  </w:style>
  <w:style w:type="character" w:styleId="51">
    <w:name w:val="FollowedHyperlink"/>
    <w:basedOn w:val="47"/>
    <w:unhideWhenUsed/>
    <w:qFormat/>
    <w:uiPriority w:val="0"/>
    <w:rPr>
      <w:color w:val="800080" w:themeColor="followedHyperlink"/>
      <w:u w:val="single"/>
      <w14:textFill>
        <w14:solidFill>
          <w14:schemeClr w14:val="folHlink"/>
        </w14:solidFill>
      </w14:textFill>
    </w:rPr>
  </w:style>
  <w:style w:type="character" w:styleId="52">
    <w:name w:val="Emphasis"/>
    <w:qFormat/>
    <w:uiPriority w:val="20"/>
    <w:rPr>
      <w:i/>
      <w:iCs/>
    </w:rPr>
  </w:style>
  <w:style w:type="character" w:styleId="53">
    <w:name w:val="HTML Definition"/>
    <w:unhideWhenUsed/>
    <w:qFormat/>
    <w:uiPriority w:val="0"/>
  </w:style>
  <w:style w:type="character" w:styleId="54">
    <w:name w:val="HTML Typewriter"/>
    <w:unhideWhenUsed/>
    <w:qFormat/>
    <w:uiPriority w:val="0"/>
    <w:rPr>
      <w:rFonts w:hint="default" w:ascii="monospace" w:hAnsi="monospace" w:eastAsia="monospace" w:cs="monospace"/>
      <w:sz w:val="20"/>
    </w:rPr>
  </w:style>
  <w:style w:type="character" w:styleId="55">
    <w:name w:val="HTML Acronym"/>
    <w:unhideWhenUsed/>
    <w:qFormat/>
    <w:uiPriority w:val="0"/>
  </w:style>
  <w:style w:type="character" w:styleId="56">
    <w:name w:val="HTML Variable"/>
    <w:unhideWhenUsed/>
    <w:qFormat/>
    <w:uiPriority w:val="0"/>
  </w:style>
  <w:style w:type="character" w:styleId="57">
    <w:name w:val="Hyperlink"/>
    <w:unhideWhenUsed/>
    <w:qFormat/>
    <w:uiPriority w:val="99"/>
    <w:rPr>
      <w:color w:val="0000FF" w:themeColor="hyperlink"/>
      <w:u w:val="single"/>
      <w14:textFill>
        <w14:solidFill>
          <w14:schemeClr w14:val="hlink"/>
        </w14:solidFill>
      </w14:textFill>
    </w:rPr>
  </w:style>
  <w:style w:type="character" w:styleId="58">
    <w:name w:val="HTML Code"/>
    <w:unhideWhenUsed/>
    <w:qFormat/>
    <w:uiPriority w:val="0"/>
    <w:rPr>
      <w:rFonts w:hint="default" w:ascii="monospace" w:hAnsi="monospace" w:eastAsia="monospace" w:cs="monospace"/>
      <w:sz w:val="20"/>
    </w:rPr>
  </w:style>
  <w:style w:type="character" w:styleId="59">
    <w:name w:val="annotation reference"/>
    <w:basedOn w:val="47"/>
    <w:unhideWhenUsed/>
    <w:qFormat/>
    <w:uiPriority w:val="0"/>
    <w:rPr>
      <w:sz w:val="21"/>
      <w:szCs w:val="21"/>
    </w:rPr>
  </w:style>
  <w:style w:type="character" w:styleId="60">
    <w:name w:val="HTML Cite"/>
    <w:unhideWhenUsed/>
    <w:qFormat/>
    <w:uiPriority w:val="0"/>
  </w:style>
  <w:style w:type="character" w:styleId="61">
    <w:name w:val="footnote reference"/>
    <w:unhideWhenUsed/>
    <w:qFormat/>
    <w:uiPriority w:val="0"/>
    <w:rPr>
      <w:vertAlign w:val="superscript"/>
    </w:rPr>
  </w:style>
  <w:style w:type="character" w:styleId="62">
    <w:name w:val="HTML Keyboard"/>
    <w:unhideWhenUsed/>
    <w:qFormat/>
    <w:uiPriority w:val="0"/>
    <w:rPr>
      <w:rFonts w:ascii="monospace" w:hAnsi="monospace" w:eastAsia="monospace" w:cs="monospace"/>
      <w:sz w:val="20"/>
    </w:rPr>
  </w:style>
  <w:style w:type="character" w:styleId="63">
    <w:name w:val="HTML Sample"/>
    <w:unhideWhenUsed/>
    <w:qFormat/>
    <w:uiPriority w:val="0"/>
    <w:rPr>
      <w:rFonts w:hint="default" w:ascii="monospace" w:hAnsi="monospace" w:eastAsia="monospace" w:cs="monospace"/>
    </w:rPr>
  </w:style>
  <w:style w:type="paragraph" w:customStyle="1" w:styleId="64">
    <w:name w:val="首行缩进"/>
    <w:basedOn w:val="1"/>
    <w:qFormat/>
    <w:uiPriority w:val="99"/>
    <w:pPr>
      <w:ind w:firstLine="480"/>
    </w:pPr>
    <w:rPr>
      <w:rFonts w:ascii="Calibri" w:hAnsi="Calibri"/>
      <w:lang w:val="zh-CN"/>
    </w:rPr>
  </w:style>
  <w:style w:type="paragraph" w:customStyle="1" w:styleId="65">
    <w:name w:val="标题 41"/>
    <w:basedOn w:val="1"/>
    <w:next w:val="1"/>
    <w:qFormat/>
    <w:uiPriority w:val="99"/>
    <w:pPr>
      <w:keepNext/>
      <w:keepLines/>
      <w:spacing w:before="280" w:after="290" w:line="374" w:lineRule="auto"/>
      <w:outlineLvl w:val="3"/>
    </w:pPr>
    <w:rPr>
      <w:rFonts w:ascii="Arial" w:hAnsi="Arial" w:eastAsia="黑体" w:cs="Arial"/>
      <w:sz w:val="28"/>
      <w:szCs w:val="28"/>
    </w:rPr>
  </w:style>
  <w:style w:type="paragraph" w:customStyle="1" w:styleId="66">
    <w:name w:val="TOC Heading"/>
    <w:unhideWhenUsed/>
    <w:qFormat/>
    <w:uiPriority w:val="39"/>
    <w:rPr>
      <w:rFonts w:hint="default" w:ascii="Times New Roman" w:hAnsi="Times New Roman" w:eastAsia="宋体" w:cs="Times New Roman"/>
    </w:rPr>
  </w:style>
  <w:style w:type="character" w:customStyle="1" w:styleId="67">
    <w:name w:val="Heading 1 Char"/>
    <w:basedOn w:val="47"/>
    <w:qFormat/>
    <w:uiPriority w:val="0"/>
    <w:rPr>
      <w:rFonts w:ascii="Arial" w:hAnsi="Arial" w:eastAsia="Arial" w:cs="Arial"/>
      <w:sz w:val="40"/>
      <w:szCs w:val="40"/>
    </w:rPr>
  </w:style>
  <w:style w:type="character" w:customStyle="1" w:styleId="68">
    <w:name w:val="Heading 2 Char"/>
    <w:basedOn w:val="47"/>
    <w:qFormat/>
    <w:uiPriority w:val="0"/>
    <w:rPr>
      <w:rFonts w:ascii="Arial" w:hAnsi="Arial" w:eastAsia="Arial" w:cs="Arial"/>
      <w:sz w:val="34"/>
    </w:rPr>
  </w:style>
  <w:style w:type="character" w:customStyle="1" w:styleId="69">
    <w:name w:val="Heading 3 Char"/>
    <w:basedOn w:val="47"/>
    <w:qFormat/>
    <w:uiPriority w:val="0"/>
    <w:rPr>
      <w:rFonts w:ascii="Arial" w:hAnsi="Arial" w:eastAsia="Arial" w:cs="Arial"/>
      <w:sz w:val="30"/>
      <w:szCs w:val="30"/>
    </w:rPr>
  </w:style>
  <w:style w:type="character" w:customStyle="1" w:styleId="70">
    <w:name w:val="Heading 4 Char"/>
    <w:basedOn w:val="47"/>
    <w:qFormat/>
    <w:uiPriority w:val="0"/>
    <w:rPr>
      <w:rFonts w:ascii="Arial" w:hAnsi="Arial" w:eastAsia="Arial" w:cs="Arial"/>
      <w:b/>
      <w:bCs/>
      <w:sz w:val="26"/>
      <w:szCs w:val="26"/>
    </w:rPr>
  </w:style>
  <w:style w:type="character" w:customStyle="1" w:styleId="71">
    <w:name w:val="Heading 5 Char"/>
    <w:basedOn w:val="47"/>
    <w:qFormat/>
    <w:uiPriority w:val="0"/>
    <w:rPr>
      <w:rFonts w:ascii="Arial" w:hAnsi="Arial" w:eastAsia="Arial" w:cs="Arial"/>
      <w:b/>
      <w:bCs/>
      <w:sz w:val="24"/>
      <w:szCs w:val="24"/>
    </w:rPr>
  </w:style>
  <w:style w:type="character" w:customStyle="1" w:styleId="72">
    <w:name w:val="Heading 6 Char"/>
    <w:basedOn w:val="47"/>
    <w:qFormat/>
    <w:uiPriority w:val="9"/>
    <w:rPr>
      <w:rFonts w:ascii="Arial" w:hAnsi="Arial" w:eastAsia="Arial" w:cs="Arial"/>
      <w:b/>
      <w:bCs/>
      <w:sz w:val="22"/>
      <w:szCs w:val="22"/>
    </w:rPr>
  </w:style>
  <w:style w:type="character" w:customStyle="1" w:styleId="73">
    <w:name w:val="Heading 7 Char"/>
    <w:basedOn w:val="47"/>
    <w:qFormat/>
    <w:uiPriority w:val="9"/>
    <w:rPr>
      <w:rFonts w:ascii="Arial" w:hAnsi="Arial" w:eastAsia="Arial" w:cs="Arial"/>
      <w:b/>
      <w:bCs/>
      <w:i/>
      <w:iCs/>
      <w:sz w:val="22"/>
      <w:szCs w:val="22"/>
    </w:rPr>
  </w:style>
  <w:style w:type="character" w:customStyle="1" w:styleId="74">
    <w:name w:val="Heading 8 Char"/>
    <w:basedOn w:val="47"/>
    <w:qFormat/>
    <w:uiPriority w:val="9"/>
    <w:rPr>
      <w:rFonts w:ascii="Arial" w:hAnsi="Arial" w:eastAsia="Arial" w:cs="Arial"/>
      <w:i/>
      <w:iCs/>
      <w:sz w:val="22"/>
      <w:szCs w:val="22"/>
    </w:rPr>
  </w:style>
  <w:style w:type="character" w:customStyle="1" w:styleId="75">
    <w:name w:val="Heading 9 Char"/>
    <w:basedOn w:val="47"/>
    <w:qFormat/>
    <w:uiPriority w:val="9"/>
    <w:rPr>
      <w:rFonts w:ascii="Arial" w:hAnsi="Arial" w:eastAsia="Arial" w:cs="Arial"/>
      <w:i/>
      <w:iCs/>
      <w:sz w:val="21"/>
      <w:szCs w:val="21"/>
    </w:rPr>
  </w:style>
  <w:style w:type="character" w:customStyle="1" w:styleId="76">
    <w:name w:val="Title Char"/>
    <w:basedOn w:val="47"/>
    <w:qFormat/>
    <w:uiPriority w:val="0"/>
    <w:rPr>
      <w:sz w:val="48"/>
      <w:szCs w:val="48"/>
    </w:rPr>
  </w:style>
  <w:style w:type="character" w:customStyle="1" w:styleId="77">
    <w:name w:val="Subtitle Char"/>
    <w:basedOn w:val="47"/>
    <w:qFormat/>
    <w:uiPriority w:val="11"/>
    <w:rPr>
      <w:sz w:val="24"/>
      <w:szCs w:val="24"/>
    </w:rPr>
  </w:style>
  <w:style w:type="character" w:customStyle="1" w:styleId="78">
    <w:name w:val="Quote Char"/>
    <w:qFormat/>
    <w:uiPriority w:val="29"/>
    <w:rPr>
      <w:i/>
    </w:rPr>
  </w:style>
  <w:style w:type="character" w:customStyle="1" w:styleId="79">
    <w:name w:val="Intense Quote Char"/>
    <w:qFormat/>
    <w:uiPriority w:val="30"/>
    <w:rPr>
      <w:i/>
    </w:rPr>
  </w:style>
  <w:style w:type="character" w:customStyle="1" w:styleId="80">
    <w:name w:val="Header Char"/>
    <w:basedOn w:val="47"/>
    <w:qFormat/>
    <w:uiPriority w:val="0"/>
  </w:style>
  <w:style w:type="character" w:customStyle="1" w:styleId="81">
    <w:name w:val="Caption Char"/>
    <w:qFormat/>
    <w:uiPriority w:val="99"/>
  </w:style>
  <w:style w:type="character" w:customStyle="1" w:styleId="82">
    <w:name w:val="Footnote Text Char"/>
    <w:qFormat/>
    <w:uiPriority w:val="0"/>
    <w:rPr>
      <w:sz w:val="18"/>
    </w:rPr>
  </w:style>
  <w:style w:type="character" w:customStyle="1" w:styleId="83">
    <w:name w:val="Endnote Text Char"/>
    <w:qFormat/>
    <w:uiPriority w:val="99"/>
    <w:rPr>
      <w:sz w:val="20"/>
    </w:rPr>
  </w:style>
  <w:style w:type="paragraph" w:customStyle="1" w:styleId="84">
    <w:name w:val="TOC 标题1"/>
    <w:unhideWhenUsed/>
    <w:qFormat/>
    <w:uiPriority w:val="39"/>
    <w:rPr>
      <w:rFonts w:hint="default" w:ascii="Times New Roman" w:hAnsi="Times New Roman" w:eastAsia="宋体" w:cs="Times New Roman"/>
      <w:lang w:val="en-US" w:eastAsia="zh-CN" w:bidi="ar-SA"/>
    </w:rPr>
  </w:style>
  <w:style w:type="paragraph" w:customStyle="1" w:styleId="85">
    <w:name w:val="正文首行缩进 21"/>
    <w:basedOn w:val="86"/>
    <w:unhideWhenUsed/>
    <w:qFormat/>
    <w:uiPriority w:val="0"/>
    <w:pPr>
      <w:spacing w:after="0" w:line="360" w:lineRule="auto"/>
      <w:ind w:left="0" w:firstLine="420"/>
    </w:pPr>
    <w:rPr>
      <w:rFonts w:ascii="宋体" w:hAnsi="宋体"/>
      <w:szCs w:val="20"/>
    </w:rPr>
  </w:style>
  <w:style w:type="paragraph" w:customStyle="1" w:styleId="86">
    <w:name w:val="正文文本缩进11"/>
    <w:basedOn w:val="1"/>
    <w:unhideWhenUsed/>
    <w:qFormat/>
    <w:uiPriority w:val="99"/>
    <w:pPr>
      <w:spacing w:after="120"/>
      <w:ind w:left="420"/>
    </w:pPr>
  </w:style>
  <w:style w:type="character" w:customStyle="1" w:styleId="87">
    <w:name w:val="标题 1 Char1"/>
    <w:link w:val="2"/>
    <w:qFormat/>
    <w:uiPriority w:val="0"/>
    <w:rPr>
      <w:rFonts w:ascii="Arial" w:hAnsi="Arial" w:eastAsia="Arial" w:cs="Arial"/>
      <w:sz w:val="40"/>
      <w:szCs w:val="40"/>
    </w:rPr>
  </w:style>
  <w:style w:type="character" w:customStyle="1" w:styleId="88">
    <w:name w:val="标题 2 Char"/>
    <w:link w:val="3"/>
    <w:qFormat/>
    <w:uiPriority w:val="0"/>
    <w:rPr>
      <w:rFonts w:ascii="Arial" w:hAnsi="Arial" w:eastAsia="Arial" w:cs="Arial"/>
      <w:sz w:val="34"/>
    </w:rPr>
  </w:style>
  <w:style w:type="character" w:customStyle="1" w:styleId="89">
    <w:name w:val="标题 3 Char"/>
    <w:link w:val="4"/>
    <w:qFormat/>
    <w:uiPriority w:val="0"/>
    <w:rPr>
      <w:rFonts w:ascii="Arial" w:hAnsi="Arial" w:eastAsia="Arial" w:cs="Arial"/>
      <w:sz w:val="30"/>
      <w:szCs w:val="30"/>
    </w:rPr>
  </w:style>
  <w:style w:type="character" w:customStyle="1" w:styleId="90">
    <w:name w:val="标题 4 Char"/>
    <w:link w:val="5"/>
    <w:qFormat/>
    <w:uiPriority w:val="0"/>
    <w:rPr>
      <w:rFonts w:ascii="Arial" w:hAnsi="Arial" w:eastAsia="Arial" w:cs="Arial"/>
      <w:b/>
      <w:bCs/>
      <w:sz w:val="26"/>
      <w:szCs w:val="26"/>
    </w:rPr>
  </w:style>
  <w:style w:type="character" w:customStyle="1" w:styleId="91">
    <w:name w:val="标题 5 Char"/>
    <w:link w:val="6"/>
    <w:qFormat/>
    <w:uiPriority w:val="9"/>
    <w:rPr>
      <w:rFonts w:ascii="Arial" w:hAnsi="Arial" w:eastAsia="Arial" w:cs="Arial"/>
      <w:b/>
      <w:bCs/>
      <w:sz w:val="24"/>
      <w:szCs w:val="24"/>
    </w:rPr>
  </w:style>
  <w:style w:type="character" w:customStyle="1" w:styleId="92">
    <w:name w:val="标题 6 Char"/>
    <w:link w:val="7"/>
    <w:qFormat/>
    <w:uiPriority w:val="0"/>
    <w:rPr>
      <w:rFonts w:ascii="Arial" w:hAnsi="Arial" w:eastAsia="Arial" w:cs="Arial"/>
      <w:b/>
      <w:bCs/>
      <w:sz w:val="22"/>
      <w:szCs w:val="22"/>
    </w:rPr>
  </w:style>
  <w:style w:type="character" w:customStyle="1" w:styleId="93">
    <w:name w:val="标题 7 Char"/>
    <w:link w:val="8"/>
    <w:qFormat/>
    <w:uiPriority w:val="0"/>
    <w:rPr>
      <w:rFonts w:ascii="Arial" w:hAnsi="Arial" w:eastAsia="Arial" w:cs="Arial"/>
      <w:b/>
      <w:bCs/>
      <w:i/>
      <w:iCs/>
      <w:sz w:val="22"/>
      <w:szCs w:val="22"/>
    </w:rPr>
  </w:style>
  <w:style w:type="character" w:customStyle="1" w:styleId="94">
    <w:name w:val="标题 8 Char"/>
    <w:link w:val="9"/>
    <w:qFormat/>
    <w:uiPriority w:val="0"/>
    <w:rPr>
      <w:rFonts w:ascii="Arial" w:hAnsi="Arial" w:eastAsia="Arial" w:cs="Arial"/>
      <w:i/>
      <w:iCs/>
      <w:sz w:val="22"/>
      <w:szCs w:val="22"/>
    </w:rPr>
  </w:style>
  <w:style w:type="character" w:customStyle="1" w:styleId="95">
    <w:name w:val="标题 9 Char"/>
    <w:link w:val="10"/>
    <w:qFormat/>
    <w:uiPriority w:val="0"/>
    <w:rPr>
      <w:rFonts w:ascii="Arial" w:hAnsi="Arial" w:eastAsia="Arial" w:cs="Arial"/>
      <w:i/>
      <w:iCs/>
      <w:sz w:val="21"/>
      <w:szCs w:val="21"/>
    </w:rPr>
  </w:style>
  <w:style w:type="paragraph" w:styleId="96">
    <w:name w:val="List Paragraph"/>
    <w:basedOn w:val="1"/>
    <w:qFormat/>
    <w:uiPriority w:val="99"/>
    <w:pPr>
      <w:ind w:left="720"/>
      <w:contextualSpacing/>
    </w:pPr>
  </w:style>
  <w:style w:type="paragraph" w:styleId="97">
    <w:name w:val="No Spacing"/>
    <w:link w:val="398"/>
    <w:qFormat/>
    <w:uiPriority w:val="0"/>
    <w:rPr>
      <w:rFonts w:hint="default" w:ascii="Calibri" w:hAnsi="Calibri" w:eastAsia="宋体" w:cs="Times New Roman"/>
      <w:lang w:val="en-US" w:eastAsia="zh-CN" w:bidi="ar-SA"/>
    </w:rPr>
  </w:style>
  <w:style w:type="character" w:customStyle="1" w:styleId="98">
    <w:name w:val="标题 Char"/>
    <w:link w:val="41"/>
    <w:qFormat/>
    <w:uiPriority w:val="0"/>
    <w:rPr>
      <w:sz w:val="48"/>
      <w:szCs w:val="48"/>
    </w:rPr>
  </w:style>
  <w:style w:type="character" w:customStyle="1" w:styleId="99">
    <w:name w:val="副标题 Char"/>
    <w:link w:val="33"/>
    <w:qFormat/>
    <w:uiPriority w:val="0"/>
    <w:rPr>
      <w:sz w:val="24"/>
      <w:szCs w:val="24"/>
    </w:rPr>
  </w:style>
  <w:style w:type="paragraph" w:styleId="100">
    <w:name w:val="Quote"/>
    <w:basedOn w:val="1"/>
    <w:next w:val="1"/>
    <w:link w:val="101"/>
    <w:qFormat/>
    <w:uiPriority w:val="0"/>
    <w:pPr>
      <w:ind w:left="720" w:right="720"/>
    </w:pPr>
    <w:rPr>
      <w:i/>
    </w:rPr>
  </w:style>
  <w:style w:type="character" w:customStyle="1" w:styleId="101">
    <w:name w:val="引用 Char"/>
    <w:link w:val="100"/>
    <w:qFormat/>
    <w:uiPriority w:val="0"/>
    <w:rPr>
      <w:i/>
    </w:rPr>
  </w:style>
  <w:style w:type="paragraph" w:styleId="102">
    <w:name w:val="Intense Quote"/>
    <w:basedOn w:val="1"/>
    <w:next w:val="1"/>
    <w:link w:val="103"/>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3">
    <w:name w:val="明显引用 Char"/>
    <w:link w:val="102"/>
    <w:qFormat/>
    <w:uiPriority w:val="0"/>
    <w:rPr>
      <w:i/>
    </w:rPr>
  </w:style>
  <w:style w:type="character" w:customStyle="1" w:styleId="104">
    <w:name w:val="页眉 Char"/>
    <w:link w:val="30"/>
    <w:qFormat/>
    <w:uiPriority w:val="0"/>
  </w:style>
  <w:style w:type="character" w:customStyle="1" w:styleId="105">
    <w:name w:val="Footer Char"/>
    <w:qFormat/>
    <w:uiPriority w:val="0"/>
  </w:style>
  <w:style w:type="character" w:customStyle="1" w:styleId="106">
    <w:name w:val="页脚 Char"/>
    <w:link w:val="29"/>
    <w:qFormat/>
    <w:uiPriority w:val="99"/>
  </w:style>
  <w:style w:type="table" w:customStyle="1" w:styleId="107">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8">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9">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0">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1">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2">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3">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4">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5">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6">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7">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8">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9">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0">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2">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3">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4">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5">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6">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7">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8">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9">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0">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1">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2">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3">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4">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5">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6">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7">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8">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9">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0">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1">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2">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3">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4">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5">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6">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7">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8">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9">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0">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2">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4">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5">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7">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9">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1">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2">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3">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4">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5">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6">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7">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8">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9">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0">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1">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2">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3">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4">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5">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6">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3">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4">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5">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6">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7">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8">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9">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0">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1">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4">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5">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6">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7">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8">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9">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0">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1">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2">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3">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4">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5">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6">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7">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8">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9">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0">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1">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2">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3">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4">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5">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6">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7">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8">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9">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0">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1">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2">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3">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4">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5">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6">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7">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8">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9">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0">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1">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2">
    <w:name w:val="脚注文本 Char1"/>
    <w:link w:val="34"/>
    <w:qFormat/>
    <w:uiPriority w:val="0"/>
    <w:rPr>
      <w:sz w:val="18"/>
    </w:rPr>
  </w:style>
  <w:style w:type="character" w:customStyle="1" w:styleId="233">
    <w:name w:val="尾注文本 Char"/>
    <w:link w:val="27"/>
    <w:qFormat/>
    <w:uiPriority w:val="0"/>
    <w:rPr>
      <w:sz w:val="20"/>
    </w:rPr>
  </w:style>
  <w:style w:type="paragraph" w:customStyle="1" w:styleId="234">
    <w:name w:val="TOC 标题111"/>
    <w:unhideWhenUsed/>
    <w:qFormat/>
    <w:uiPriority w:val="0"/>
    <w:rPr>
      <w:rFonts w:hint="default" w:ascii="Calibri" w:hAnsi="Calibri" w:eastAsia="宋体" w:cs="Times New Roman"/>
      <w:lang w:val="en-US" w:eastAsia="zh-CN" w:bidi="ar-SA"/>
    </w:rPr>
  </w:style>
  <w:style w:type="paragraph" w:customStyle="1" w:styleId="235">
    <w:name w:val="标题 11"/>
    <w:basedOn w:val="1"/>
    <w:next w:val="1"/>
    <w:link w:val="254"/>
    <w:qFormat/>
    <w:uiPriority w:val="0"/>
    <w:pPr>
      <w:widowControl/>
      <w:spacing w:before="100" w:beforeAutospacing="1" w:after="100" w:afterAutospacing="1" w:line="360" w:lineRule="atLeast"/>
      <w:jc w:val="left"/>
      <w:outlineLvl w:val="0"/>
    </w:pPr>
    <w:rPr>
      <w:rFonts w:ascii="宋体" w:hAnsi="宋体" w:eastAsia="Times New Roman" w:cs="宋体"/>
      <w:b/>
      <w:sz w:val="48"/>
      <w:szCs w:val="20"/>
    </w:rPr>
  </w:style>
  <w:style w:type="character" w:customStyle="1" w:styleId="236">
    <w:name w:val="默认段落字体1"/>
    <w:semiHidden/>
    <w:unhideWhenUsed/>
    <w:qFormat/>
    <w:uiPriority w:val="1"/>
  </w:style>
  <w:style w:type="table" w:customStyle="1" w:styleId="237">
    <w:name w:val="普通表格1"/>
    <w:semiHidden/>
    <w:unhideWhenUsed/>
    <w:qFormat/>
    <w:uiPriority w:val="99"/>
    <w:tblPr>
      <w:tblCellMar>
        <w:top w:w="0" w:type="dxa"/>
        <w:left w:w="0" w:type="dxa"/>
        <w:bottom w:w="0" w:type="dxa"/>
        <w:right w:w="0" w:type="dxa"/>
      </w:tblCellMar>
    </w:tblPr>
  </w:style>
  <w:style w:type="paragraph" w:customStyle="1" w:styleId="238">
    <w:name w:val="文档结构图1"/>
    <w:basedOn w:val="1"/>
    <w:semiHidden/>
    <w:qFormat/>
    <w:uiPriority w:val="99"/>
    <w:pPr>
      <w:shd w:val="clear" w:color="auto" w:fill="000080"/>
    </w:pPr>
    <w:rPr>
      <w:rFonts w:ascii="Calibri" w:hAnsi="Calibri"/>
      <w:szCs w:val="20"/>
    </w:rPr>
  </w:style>
  <w:style w:type="paragraph" w:customStyle="1" w:styleId="239">
    <w:name w:val="批注文字1"/>
    <w:basedOn w:val="1"/>
    <w:semiHidden/>
    <w:qFormat/>
    <w:uiPriority w:val="99"/>
    <w:pPr>
      <w:jc w:val="left"/>
    </w:pPr>
    <w:rPr>
      <w:rFonts w:ascii="Calibri" w:hAnsi="Calibri"/>
      <w:szCs w:val="20"/>
    </w:rPr>
  </w:style>
  <w:style w:type="paragraph" w:customStyle="1" w:styleId="240">
    <w:name w:val="目录 51"/>
    <w:basedOn w:val="1"/>
    <w:next w:val="1"/>
    <w:qFormat/>
    <w:uiPriority w:val="99"/>
    <w:pPr>
      <w:ind w:left="800"/>
    </w:pPr>
    <w:rPr>
      <w:rFonts w:ascii="Calibri" w:hAnsi="Calibri"/>
      <w:szCs w:val="22"/>
    </w:rPr>
  </w:style>
  <w:style w:type="paragraph" w:customStyle="1" w:styleId="241">
    <w:name w:val="页脚1"/>
    <w:basedOn w:val="1"/>
    <w:qFormat/>
    <w:uiPriority w:val="0"/>
    <w:pPr>
      <w:tabs>
        <w:tab w:val="center" w:pos="4153"/>
        <w:tab w:val="right" w:pos="8306"/>
      </w:tabs>
      <w:jc w:val="left"/>
    </w:pPr>
    <w:rPr>
      <w:sz w:val="18"/>
      <w:szCs w:val="18"/>
    </w:rPr>
  </w:style>
  <w:style w:type="paragraph" w:customStyle="1" w:styleId="242">
    <w:name w:val="页眉1"/>
    <w:basedOn w:val="1"/>
    <w:link w:val="260"/>
    <w:qFormat/>
    <w:uiPriority w:val="99"/>
    <w:pPr>
      <w:pBdr>
        <w:bottom w:val="single" w:color="000000" w:sz="6" w:space="1"/>
      </w:pBdr>
      <w:tabs>
        <w:tab w:val="center" w:pos="4153"/>
        <w:tab w:val="right" w:pos="8306"/>
      </w:tabs>
      <w:jc w:val="center"/>
    </w:pPr>
    <w:rPr>
      <w:rFonts w:ascii="Calibri" w:hAnsi="Calibri"/>
      <w:sz w:val="18"/>
      <w:szCs w:val="18"/>
    </w:rPr>
  </w:style>
  <w:style w:type="paragraph" w:customStyle="1" w:styleId="243">
    <w:name w:val="正文文本缩进 31"/>
    <w:basedOn w:val="1"/>
    <w:qFormat/>
    <w:uiPriority w:val="99"/>
    <w:pPr>
      <w:ind w:left="645" w:firstLine="645"/>
    </w:pPr>
    <w:rPr>
      <w:rFonts w:ascii="Arial" w:hAnsi="Arial" w:eastAsia="仿宋_GB2312"/>
      <w:color w:val="FFFF00"/>
      <w:sz w:val="32"/>
      <w:szCs w:val="20"/>
    </w:rPr>
  </w:style>
  <w:style w:type="paragraph" w:customStyle="1" w:styleId="244">
    <w:name w:val="普通(网站)1"/>
    <w:basedOn w:val="1"/>
    <w:unhideWhenUsed/>
    <w:qFormat/>
    <w:uiPriority w:val="99"/>
    <w:pPr>
      <w:spacing w:beforeAutospacing="1" w:afterAutospacing="1"/>
      <w:jc w:val="left"/>
    </w:pPr>
  </w:style>
  <w:style w:type="paragraph" w:customStyle="1" w:styleId="245">
    <w:name w:val="Default"/>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246">
    <w:name w:val="WPS Plain"/>
    <w:qFormat/>
    <w:uiPriority w:val="0"/>
    <w:rPr>
      <w:rFonts w:hint="default" w:ascii="Times New Roman" w:hAnsi="Times New Roman" w:eastAsia="宋体" w:cs="Times New Roman"/>
      <w:lang w:val="en-US" w:eastAsia="zh-CN" w:bidi="ar-SA"/>
    </w:rPr>
  </w:style>
  <w:style w:type="paragraph" w:customStyle="1" w:styleId="247">
    <w:name w:val="样式 样式 正文缩进四号ALT+Z段1 Char Char Char段1 Char Char标题4body text鋘d... ...1"/>
    <w:basedOn w:val="1"/>
    <w:qFormat/>
    <w:uiPriority w:val="0"/>
    <w:pPr>
      <w:ind w:firstLine="200"/>
    </w:pPr>
    <w:rPr>
      <w:rFonts w:ascii="宋体" w:hAnsi="宋体"/>
      <w:color w:val="000000"/>
      <w:sz w:val="21"/>
      <w:szCs w:val="20"/>
    </w:rPr>
  </w:style>
  <w:style w:type="paragraph" w:customStyle="1" w:styleId="248">
    <w:name w:val="Table Text"/>
    <w:basedOn w:val="1"/>
    <w:semiHidden/>
    <w:qFormat/>
    <w:uiPriority w:val="0"/>
    <w:pPr>
      <w:widowControl/>
      <w:spacing w:before="65" w:line="360" w:lineRule="auto"/>
      <w:ind w:right="137"/>
      <w:jc w:val="center"/>
    </w:pPr>
    <w:rPr>
      <w:rFonts w:ascii="宋体" w:hAnsi="宋体" w:cs="宋体"/>
      <w:bCs/>
      <w:color w:val="000000"/>
      <w:spacing w:val="6"/>
      <w:sz w:val="20"/>
      <w:szCs w:val="20"/>
      <w:lang w:eastAsia="en-US"/>
    </w:rPr>
  </w:style>
  <w:style w:type="paragraph" w:customStyle="1" w:styleId="249">
    <w:name w:val="列出段落1"/>
    <w:basedOn w:val="1"/>
    <w:qFormat/>
    <w:uiPriority w:val="99"/>
    <w:pPr>
      <w:ind w:firstLine="200"/>
    </w:pPr>
    <w:rPr>
      <w:rFonts w:eastAsia="Times New Roman"/>
    </w:rPr>
  </w:style>
  <w:style w:type="character" w:customStyle="1" w:styleId="250">
    <w:name w:val="font11"/>
    <w:qFormat/>
    <w:uiPriority w:val="99"/>
    <w:rPr>
      <w:rFonts w:hint="eastAsia" w:ascii="宋体" w:hAnsi="宋体" w:eastAsia="宋体" w:cs="宋体"/>
      <w:color w:val="000000"/>
      <w:sz w:val="22"/>
      <w:szCs w:val="22"/>
      <w:u w:val="none"/>
    </w:rPr>
  </w:style>
  <w:style w:type="paragraph" w:customStyle="1" w:styleId="251">
    <w:name w:val="目录 31"/>
    <w:basedOn w:val="1"/>
    <w:next w:val="1"/>
    <w:qFormat/>
    <w:uiPriority w:val="0"/>
    <w:pPr>
      <w:ind w:left="840"/>
    </w:pPr>
  </w:style>
  <w:style w:type="paragraph" w:customStyle="1" w:styleId="252">
    <w:name w:val="批注框文本1"/>
    <w:basedOn w:val="1"/>
    <w:link w:val="253"/>
    <w:qFormat/>
    <w:uiPriority w:val="0"/>
    <w:rPr>
      <w:sz w:val="18"/>
      <w:szCs w:val="18"/>
    </w:rPr>
  </w:style>
  <w:style w:type="character" w:customStyle="1" w:styleId="253">
    <w:name w:val="批注框文本 Char"/>
    <w:link w:val="252"/>
    <w:qFormat/>
    <w:uiPriority w:val="0"/>
    <w:rPr>
      <w:rFonts w:ascii="Times New Roman" w:hAnsi="Times New Roman"/>
      <w:sz w:val="18"/>
      <w:szCs w:val="18"/>
    </w:rPr>
  </w:style>
  <w:style w:type="character" w:customStyle="1" w:styleId="254">
    <w:name w:val="标题 1 Char"/>
    <w:basedOn w:val="236"/>
    <w:link w:val="235"/>
    <w:qFormat/>
    <w:uiPriority w:val="0"/>
    <w:rPr>
      <w:rFonts w:ascii="宋体" w:hAnsi="宋体" w:eastAsia="Times New Roman" w:cs="宋体"/>
      <w:b/>
      <w:sz w:val="48"/>
      <w:szCs w:val="20"/>
    </w:rPr>
  </w:style>
  <w:style w:type="paragraph" w:customStyle="1" w:styleId="255">
    <w:name w:val="脚注文本1"/>
    <w:basedOn w:val="1"/>
    <w:link w:val="256"/>
    <w:unhideWhenUsed/>
    <w:qFormat/>
    <w:uiPriority w:val="0"/>
    <w:pPr>
      <w:spacing w:line="360" w:lineRule="atLeast"/>
      <w:jc w:val="left"/>
    </w:pPr>
    <w:rPr>
      <w:sz w:val="18"/>
      <w:szCs w:val="20"/>
    </w:rPr>
  </w:style>
  <w:style w:type="character" w:customStyle="1" w:styleId="256">
    <w:name w:val="脚注文本 Char"/>
    <w:link w:val="255"/>
    <w:qFormat/>
    <w:uiPriority w:val="0"/>
    <w:rPr>
      <w:rFonts w:ascii="Times New Roman" w:hAnsi="Times New Roman"/>
      <w:sz w:val="18"/>
    </w:rPr>
  </w:style>
  <w:style w:type="character" w:customStyle="1" w:styleId="257">
    <w:name w:val="脚注引用1"/>
    <w:unhideWhenUsed/>
    <w:qFormat/>
    <w:uiPriority w:val="0"/>
    <w:rPr>
      <w:vertAlign w:val="superscript"/>
    </w:rPr>
  </w:style>
  <w:style w:type="paragraph" w:customStyle="1" w:styleId="258">
    <w:name w:val="p0"/>
    <w:basedOn w:val="1"/>
    <w:qFormat/>
    <w:uiPriority w:val="99"/>
    <w:pPr>
      <w:widowControl/>
      <w:spacing w:line="360" w:lineRule="atLeast"/>
    </w:pPr>
    <w:rPr>
      <w:rFonts w:eastAsia="Times New Roman"/>
      <w:sz w:val="21"/>
      <w:szCs w:val="20"/>
    </w:rPr>
  </w:style>
  <w:style w:type="table" w:customStyle="1" w:styleId="259">
    <w:name w:val="网格型1"/>
    <w:basedOn w:val="237"/>
    <w:qFormat/>
    <w:uiPriority w:val="0"/>
    <w:pPr>
      <w:widowControl w:val="0"/>
      <w:jc w:val="both"/>
    </w:pPr>
    <w:tblPr>
      <w:tblCellMar>
        <w:top w:w="0" w:type="dxa"/>
        <w:left w:w="0" w:type="dxa"/>
        <w:bottom w:w="0" w:type="dxa"/>
        <w:right w:w="0" w:type="dxa"/>
      </w:tblCellMar>
    </w:tblPr>
  </w:style>
  <w:style w:type="character" w:customStyle="1" w:styleId="260">
    <w:name w:val="页眉 Char1"/>
    <w:link w:val="242"/>
    <w:qFormat/>
    <w:uiPriority w:val="99"/>
    <w:rPr>
      <w:sz w:val="18"/>
      <w:szCs w:val="18"/>
    </w:rPr>
  </w:style>
  <w:style w:type="character" w:customStyle="1" w:styleId="261">
    <w:name w:val="批注引用1"/>
    <w:qFormat/>
    <w:uiPriority w:val="0"/>
    <w:rPr>
      <w:sz w:val="21"/>
      <w:szCs w:val="21"/>
    </w:rPr>
  </w:style>
  <w:style w:type="paragraph" w:customStyle="1" w:styleId="262">
    <w:name w:val="Table Paragraph"/>
    <w:basedOn w:val="1"/>
    <w:qFormat/>
    <w:uiPriority w:val="1"/>
    <w:pPr>
      <w:jc w:val="left"/>
    </w:pPr>
    <w:rPr>
      <w:rFonts w:ascii="宋体" w:hAnsi="宋体" w:cs="宋体"/>
      <w:sz w:val="22"/>
      <w:szCs w:val="22"/>
      <w:lang w:val="zh-CN" w:bidi="zh-CN"/>
    </w:rPr>
  </w:style>
  <w:style w:type="paragraph" w:customStyle="1" w:styleId="263">
    <w:name w:val="Other|1"/>
    <w:basedOn w:val="1"/>
    <w:qFormat/>
    <w:uiPriority w:val="0"/>
    <w:pPr>
      <w:spacing w:line="480" w:lineRule="auto"/>
      <w:ind w:firstLine="400"/>
    </w:pPr>
    <w:rPr>
      <w:rFonts w:ascii="宋体" w:hAnsi="宋体" w:cs="宋体"/>
      <w:sz w:val="20"/>
      <w:szCs w:val="20"/>
      <w:lang w:val="zh-TW" w:eastAsia="zh-TW" w:bidi="zh-TW"/>
    </w:rPr>
  </w:style>
  <w:style w:type="character" w:customStyle="1" w:styleId="264">
    <w:name w:val="批注框文本 Char1"/>
    <w:basedOn w:val="47"/>
    <w:link w:val="28"/>
    <w:qFormat/>
    <w:uiPriority w:val="99"/>
    <w:rPr>
      <w:rFonts w:ascii="Times New Roman" w:hAnsi="Times New Roman"/>
      <w:sz w:val="18"/>
      <w:szCs w:val="18"/>
    </w:rPr>
  </w:style>
  <w:style w:type="character" w:customStyle="1" w:styleId="265">
    <w:name w:val="批注文字 Char"/>
    <w:basedOn w:val="47"/>
    <w:link w:val="15"/>
    <w:qFormat/>
    <w:uiPriority w:val="0"/>
    <w:rPr>
      <w:rFonts w:ascii="Times New Roman" w:hAnsi="Times New Roman"/>
      <w:sz w:val="24"/>
      <w:szCs w:val="24"/>
    </w:rPr>
  </w:style>
  <w:style w:type="character" w:customStyle="1" w:styleId="266">
    <w:name w:val="批注主题 Char"/>
    <w:basedOn w:val="265"/>
    <w:link w:val="42"/>
    <w:qFormat/>
    <w:uiPriority w:val="0"/>
    <w:rPr>
      <w:rFonts w:ascii="Times New Roman" w:hAnsi="Times New Roman"/>
      <w:b/>
      <w:bCs/>
      <w:sz w:val="24"/>
      <w:szCs w:val="24"/>
    </w:rPr>
  </w:style>
  <w:style w:type="character" w:customStyle="1" w:styleId="267">
    <w:name w:val="fontstyle01"/>
    <w:qFormat/>
    <w:uiPriority w:val="99"/>
    <w:rPr>
      <w:rFonts w:hint="default" w:ascii="Times New Roman" w:hAnsi="Times New Roman" w:eastAsia="宋体" w:cs="Times New Roman"/>
      <w:sz w:val="24"/>
      <w:szCs w:val="24"/>
      <w:lang w:val="en-US" w:eastAsia="zh-CN" w:bidi="ar-SA"/>
    </w:rPr>
  </w:style>
  <w:style w:type="paragraph" w:customStyle="1" w:styleId="268">
    <w:name w:val="文本正文"/>
    <w:basedOn w:val="1"/>
    <w:qFormat/>
    <w:uiPriority w:val="0"/>
    <w:pPr>
      <w:jc w:val="left"/>
    </w:pPr>
    <w:rPr>
      <w:rFonts w:ascii="宋体" w:hAnsi="宋体"/>
    </w:rPr>
  </w:style>
  <w:style w:type="paragraph" w:customStyle="1" w:styleId="269">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70">
    <w:name w:val="标题 4_0_0"/>
    <w:basedOn w:val="271"/>
    <w:next w:val="271"/>
    <w:link w:val="460"/>
    <w:qFormat/>
    <w:uiPriority w:val="0"/>
    <w:pPr>
      <w:keepNext/>
      <w:keepLines/>
      <w:spacing w:before="280" w:after="290" w:line="372" w:lineRule="auto"/>
      <w:outlineLvl w:val="3"/>
    </w:pPr>
    <w:rPr>
      <w:rFonts w:ascii="Arial" w:hAnsi="Arial" w:eastAsia="黑体"/>
      <w:b/>
      <w:sz w:val="28"/>
    </w:rPr>
  </w:style>
  <w:style w:type="paragraph" w:customStyle="1" w:styleId="271">
    <w:name w:val="正文_1_0"/>
    <w:basedOn w:val="272"/>
    <w:qFormat/>
    <w:uiPriority w:val="0"/>
    <w:pPr>
      <w:widowControl w:val="0"/>
      <w:jc w:val="both"/>
    </w:pPr>
    <w:rPr>
      <w:rFonts w:hint="default" w:ascii="Times New Roman" w:hAnsi="Times New Roman" w:eastAsia="宋体" w:cs="Times New Roman"/>
      <w:lang w:val="en-US" w:eastAsia="zh-CN" w:bidi="ar-SA"/>
    </w:rPr>
  </w:style>
  <w:style w:type="paragraph" w:customStyle="1" w:styleId="272">
    <w:name w:val="Normal_0_0"/>
    <w:qFormat/>
    <w:uiPriority w:val="0"/>
    <w:rPr>
      <w:rFonts w:hint="default" w:ascii="Times New Roman" w:hAnsi="Times New Roman" w:eastAsia="Times New Roman" w:cs="Times New Roman"/>
      <w:sz w:val="24"/>
      <w:szCs w:val="24"/>
      <w:lang w:val="en-US" w:eastAsia="zh-CN" w:bidi="ar-SA"/>
    </w:rPr>
  </w:style>
  <w:style w:type="paragraph" w:customStyle="1" w:styleId="273">
    <w:name w:val="正文_1_0_0"/>
    <w:qFormat/>
    <w:uiPriority w:val="0"/>
    <w:pPr>
      <w:widowControl w:val="0"/>
      <w:jc w:val="both"/>
    </w:pPr>
    <w:rPr>
      <w:rFonts w:hint="default" w:ascii="Times New Roman" w:hAnsi="Times New Roman" w:eastAsia="宋体" w:cs="Times New Roman"/>
      <w:lang w:val="en-US" w:eastAsia="zh-CN" w:bidi="ar-SA"/>
    </w:rPr>
  </w:style>
  <w:style w:type="paragraph" w:customStyle="1" w:styleId="274">
    <w:name w:val="Normal_0_0_0"/>
    <w:qFormat/>
    <w:uiPriority w:val="0"/>
    <w:rPr>
      <w:rFonts w:hint="default" w:ascii="Times New Roman" w:hAnsi="Times New Roman" w:eastAsia="Times New Roman" w:cs="Times New Roman"/>
      <w:sz w:val="24"/>
      <w:szCs w:val="24"/>
      <w:lang w:val="en-US" w:eastAsia="zh-CN" w:bidi="ar-SA"/>
    </w:rPr>
  </w:style>
  <w:style w:type="paragraph" w:customStyle="1" w:styleId="275">
    <w:name w:val="正文_1_1"/>
    <w:qFormat/>
    <w:uiPriority w:val="0"/>
    <w:pPr>
      <w:widowControl w:val="0"/>
      <w:jc w:val="both"/>
    </w:pPr>
    <w:rPr>
      <w:rFonts w:hint="default" w:ascii="Times New Roman" w:hAnsi="Times New Roman" w:eastAsia="宋体" w:cs="Times New Roman"/>
      <w:lang w:val="en-US" w:eastAsia="zh-CN" w:bidi="ar-SA"/>
    </w:rPr>
  </w:style>
  <w:style w:type="paragraph" w:customStyle="1" w:styleId="276">
    <w:name w:val="正文文本_0_0"/>
    <w:basedOn w:val="275"/>
    <w:qFormat/>
    <w:uiPriority w:val="0"/>
    <w:pPr>
      <w:tabs>
        <w:tab w:val="left" w:pos="5250"/>
      </w:tabs>
    </w:pPr>
    <w:rPr>
      <w:sz w:val="28"/>
    </w:rPr>
  </w:style>
  <w:style w:type="paragraph" w:customStyle="1" w:styleId="277">
    <w:name w:val="正文文本_0_0_0"/>
    <w:basedOn w:val="271"/>
    <w:qFormat/>
    <w:uiPriority w:val="0"/>
    <w:pPr>
      <w:tabs>
        <w:tab w:val="left" w:pos="5250"/>
      </w:tabs>
    </w:pPr>
    <w:rPr>
      <w:sz w:val="28"/>
    </w:rPr>
  </w:style>
  <w:style w:type="paragraph" w:customStyle="1" w:styleId="278">
    <w:name w:val="20、第五章“(一)”三级标题"/>
    <w:basedOn w:val="279"/>
    <w:qFormat/>
    <w:uiPriority w:val="0"/>
    <w:pPr>
      <w:pageBreakBefore/>
      <w:tabs>
        <w:tab w:val="left" w:pos="0"/>
      </w:tabs>
      <w:jc w:val="center"/>
      <w:outlineLvl w:val="2"/>
    </w:pPr>
    <w:rPr>
      <w:b/>
      <w:sz w:val="28"/>
    </w:rPr>
  </w:style>
  <w:style w:type="paragraph" w:customStyle="1" w:styleId="279">
    <w:name w:val="01、普通正文"/>
    <w:basedOn w:val="1"/>
    <w:qFormat/>
    <w:uiPriority w:val="0"/>
    <w:pPr>
      <w:tabs>
        <w:tab w:val="left" w:pos="0"/>
      </w:tabs>
    </w:pPr>
  </w:style>
  <w:style w:type="paragraph" w:customStyle="1" w:styleId="280">
    <w:name w:val="03、“注：”正文(加粗，首行缩进2字符)"/>
    <w:basedOn w:val="279"/>
    <w:qFormat/>
    <w:uiPriority w:val="0"/>
    <w:pPr>
      <w:ind w:firstLine="480"/>
    </w:pPr>
    <w:rPr>
      <w:b/>
    </w:rPr>
  </w:style>
  <w:style w:type="paragraph" w:customStyle="1" w:styleId="281">
    <w:name w:val="02、首行缩进2字符正文"/>
    <w:basedOn w:val="1"/>
    <w:qFormat/>
    <w:uiPriority w:val="0"/>
    <w:pPr>
      <w:tabs>
        <w:tab w:val="left" w:pos="0"/>
      </w:tabs>
      <w:ind w:firstLine="480"/>
    </w:pPr>
  </w:style>
  <w:style w:type="paragraph" w:customStyle="1" w:styleId="282">
    <w:name w:val="标题 21"/>
    <w:basedOn w:val="1"/>
    <w:next w:val="1"/>
    <w:qFormat/>
    <w:uiPriority w:val="0"/>
    <w:pPr>
      <w:keepNext/>
      <w:keepLines/>
      <w:spacing w:before="260" w:after="260" w:line="415" w:lineRule="auto"/>
      <w:jc w:val="left"/>
      <w:outlineLvl w:val="1"/>
    </w:pPr>
    <w:rPr>
      <w:rFonts w:ascii="Arial" w:hAnsi="Arial" w:eastAsia="仿宋_GB2312" w:cs="Arial"/>
      <w:sz w:val="28"/>
      <w:szCs w:val="44"/>
    </w:rPr>
  </w:style>
  <w:style w:type="paragraph" w:customStyle="1" w:styleId="283">
    <w:name w:val="正文文本11"/>
    <w:basedOn w:val="1"/>
    <w:qFormat/>
    <w:uiPriority w:val="0"/>
    <w:pPr>
      <w:spacing w:after="120"/>
    </w:pPr>
    <w:rPr>
      <w:rFonts w:ascii="Calibri" w:hAnsi="Calibri"/>
      <w:sz w:val="20"/>
    </w:rPr>
  </w:style>
  <w:style w:type="paragraph" w:customStyle="1" w:styleId="284">
    <w:name w:val="正文文本 31"/>
    <w:basedOn w:val="1"/>
    <w:qFormat/>
    <w:uiPriority w:val="0"/>
    <w:rPr>
      <w:rFonts w:ascii="仿宋_GB2312" w:hAnsi="Arial" w:eastAsia="仿宋_GB2312"/>
      <w:sz w:val="32"/>
      <w:szCs w:val="32"/>
    </w:rPr>
  </w:style>
  <w:style w:type="paragraph" w:customStyle="1" w:styleId="285">
    <w:name w:val="普通(网站)11"/>
    <w:basedOn w:val="1"/>
    <w:unhideWhenUsed/>
    <w:qFormat/>
    <w:uiPriority w:val="0"/>
    <w:pPr>
      <w:widowControl/>
      <w:spacing w:before="100" w:beforeAutospacing="1" w:after="100" w:afterAutospacing="1"/>
      <w:jc w:val="left"/>
    </w:pPr>
    <w:rPr>
      <w:rFonts w:ascii="宋体" w:hAnsi="宋体" w:cs="宋体"/>
    </w:rPr>
  </w:style>
  <w:style w:type="paragraph" w:customStyle="1" w:styleId="286">
    <w:name w:val="标题 31"/>
    <w:basedOn w:val="1"/>
    <w:next w:val="1"/>
    <w:qFormat/>
    <w:uiPriority w:val="0"/>
    <w:pPr>
      <w:keepNext/>
      <w:keepLines/>
      <w:spacing w:before="260" w:after="260" w:line="415" w:lineRule="auto"/>
      <w:outlineLvl w:val="2"/>
    </w:pPr>
    <w:rPr>
      <w:sz w:val="32"/>
      <w:szCs w:val="32"/>
    </w:rPr>
  </w:style>
  <w:style w:type="paragraph" w:customStyle="1" w:styleId="287">
    <w:name w:val="目录 11"/>
    <w:basedOn w:val="1"/>
    <w:next w:val="1"/>
    <w:qFormat/>
    <w:uiPriority w:val="39"/>
    <w:pPr>
      <w:spacing w:before="120" w:after="120"/>
      <w:jc w:val="left"/>
    </w:pPr>
    <w:rPr>
      <w:b/>
      <w:bCs/>
      <w:caps/>
      <w:sz w:val="20"/>
      <w:szCs w:val="20"/>
    </w:rPr>
  </w:style>
  <w:style w:type="paragraph" w:customStyle="1" w:styleId="288">
    <w:name w:val="正文缩进111"/>
    <w:basedOn w:val="1"/>
    <w:qFormat/>
    <w:uiPriority w:val="0"/>
    <w:pPr>
      <w:ind w:firstLine="420"/>
    </w:pPr>
    <w:rPr>
      <w:szCs w:val="21"/>
    </w:rPr>
  </w:style>
  <w:style w:type="paragraph" w:customStyle="1" w:styleId="289">
    <w:name w:val="正文文本缩进1"/>
    <w:basedOn w:val="1"/>
    <w:next w:val="290"/>
    <w:qFormat/>
    <w:uiPriority w:val="0"/>
    <w:pPr>
      <w:ind w:firstLine="645"/>
    </w:pPr>
    <w:rPr>
      <w:rFonts w:ascii="楷体_GB2312" w:hAnsi="Calibri" w:eastAsia="楷体_GB2312"/>
      <w:sz w:val="32"/>
      <w:szCs w:val="32"/>
    </w:rPr>
  </w:style>
  <w:style w:type="paragraph" w:customStyle="1" w:styleId="290">
    <w:name w:val="寄信人地址1"/>
    <w:basedOn w:val="1"/>
    <w:qFormat/>
    <w:uiPriority w:val="0"/>
    <w:rPr>
      <w:rFonts w:ascii="Arial" w:hAnsi="Arial"/>
    </w:rPr>
  </w:style>
  <w:style w:type="character" w:customStyle="1" w:styleId="291">
    <w:name w:val="HTML 打字机1"/>
    <w:qFormat/>
    <w:uiPriority w:val="0"/>
    <w:rPr>
      <w:rFonts w:ascii="Times New Roman" w:hAnsi="Times New Roman"/>
      <w:sz w:val="21"/>
      <w:szCs w:val="24"/>
      <w:lang w:val="en-US" w:eastAsia="zh-CN" w:bidi="ar-SA"/>
    </w:rPr>
  </w:style>
  <w:style w:type="paragraph" w:customStyle="1" w:styleId="292">
    <w:name w:val="正文缩进11"/>
    <w:basedOn w:val="1"/>
    <w:next w:val="1"/>
    <w:qFormat/>
    <w:uiPriority w:val="99"/>
    <w:pPr>
      <w:ind w:firstLine="420"/>
    </w:pPr>
    <w:rPr>
      <w:sz w:val="21"/>
      <w:szCs w:val="21"/>
    </w:rPr>
  </w:style>
  <w:style w:type="paragraph" w:customStyle="1" w:styleId="293">
    <w:name w:val="纯文本2"/>
    <w:basedOn w:val="1"/>
    <w:qFormat/>
    <w:uiPriority w:val="0"/>
    <w:rPr>
      <w:rFonts w:ascii="宋体" w:hAnsi="Courier New" w:cs="Courier New"/>
      <w:szCs w:val="21"/>
    </w:rPr>
  </w:style>
  <w:style w:type="paragraph" w:customStyle="1" w:styleId="294">
    <w:name w:val="正文1"/>
    <w:qFormat/>
    <w:uiPriority w:val="0"/>
    <w:rPr>
      <w:rFonts w:hint="default" w:ascii="Times New Roman" w:hAnsi="Times New Roman" w:eastAsia="Times New Roman" w:cs="Times New Roman"/>
      <w:sz w:val="24"/>
      <w:szCs w:val="24"/>
      <w:lang w:val="en-US" w:eastAsia="zh-CN" w:bidi="ar-SA"/>
    </w:rPr>
  </w:style>
  <w:style w:type="character" w:customStyle="1" w:styleId="295">
    <w:name w:val="文档结构图 Char"/>
    <w:basedOn w:val="47"/>
    <w:link w:val="14"/>
    <w:qFormat/>
    <w:uiPriority w:val="0"/>
    <w:rPr>
      <w:rFonts w:ascii="宋体"/>
      <w:sz w:val="18"/>
      <w:szCs w:val="18"/>
    </w:rPr>
  </w:style>
  <w:style w:type="character" w:customStyle="1" w:styleId="296">
    <w:name w:val="正文文本 3 Char"/>
    <w:basedOn w:val="47"/>
    <w:link w:val="16"/>
    <w:qFormat/>
    <w:uiPriority w:val="0"/>
    <w:rPr>
      <w:sz w:val="16"/>
      <w:szCs w:val="16"/>
    </w:rPr>
  </w:style>
  <w:style w:type="character" w:customStyle="1" w:styleId="297">
    <w:name w:val="正文文本 Char"/>
    <w:basedOn w:val="47"/>
    <w:link w:val="17"/>
    <w:qFormat/>
    <w:uiPriority w:val="0"/>
    <w:rPr>
      <w:sz w:val="24"/>
      <w:szCs w:val="24"/>
    </w:rPr>
  </w:style>
  <w:style w:type="character" w:customStyle="1" w:styleId="298">
    <w:name w:val="正文文本缩进 Char"/>
    <w:basedOn w:val="47"/>
    <w:link w:val="19"/>
    <w:qFormat/>
    <w:uiPriority w:val="0"/>
    <w:rPr>
      <w:rFonts w:ascii="宋体" w:hAnsi="宋体"/>
      <w:sz w:val="21"/>
    </w:rPr>
  </w:style>
  <w:style w:type="character" w:customStyle="1" w:styleId="299">
    <w:name w:val="纯文本 Char"/>
    <w:basedOn w:val="47"/>
    <w:link w:val="23"/>
    <w:qFormat/>
    <w:uiPriority w:val="0"/>
    <w:rPr>
      <w:rFonts w:ascii="宋体" w:hAnsi="Courier New"/>
      <w:sz w:val="21"/>
      <w:szCs w:val="24"/>
    </w:rPr>
  </w:style>
  <w:style w:type="character" w:customStyle="1" w:styleId="300">
    <w:name w:val="日期 Char"/>
    <w:basedOn w:val="47"/>
    <w:link w:val="25"/>
    <w:qFormat/>
    <w:uiPriority w:val="0"/>
    <w:rPr>
      <w:sz w:val="21"/>
      <w:szCs w:val="24"/>
    </w:rPr>
  </w:style>
  <w:style w:type="character" w:customStyle="1" w:styleId="301">
    <w:name w:val="正文文本缩进 2 Char"/>
    <w:basedOn w:val="47"/>
    <w:link w:val="26"/>
    <w:qFormat/>
    <w:uiPriority w:val="0"/>
    <w:rPr>
      <w:sz w:val="21"/>
      <w:szCs w:val="24"/>
    </w:rPr>
  </w:style>
  <w:style w:type="character" w:customStyle="1" w:styleId="302">
    <w:name w:val="正文文本缩进 3 Char"/>
    <w:basedOn w:val="47"/>
    <w:link w:val="36"/>
    <w:qFormat/>
    <w:uiPriority w:val="0"/>
    <w:rPr>
      <w:rFonts w:ascii="Calibri" w:hAnsi="Calibri"/>
      <w:sz w:val="16"/>
      <w:szCs w:val="16"/>
    </w:rPr>
  </w:style>
  <w:style w:type="character" w:customStyle="1" w:styleId="303">
    <w:name w:val="正文首行缩进 Char"/>
    <w:basedOn w:val="297"/>
    <w:link w:val="43"/>
    <w:qFormat/>
    <w:uiPriority w:val="0"/>
    <w:rPr>
      <w:rFonts w:ascii="仿宋_GB2312" w:hAnsi="Arial" w:eastAsia="仿宋_GB2312"/>
      <w:sz w:val="30"/>
      <w:szCs w:val="30"/>
    </w:rPr>
  </w:style>
  <w:style w:type="character" w:customStyle="1" w:styleId="304">
    <w:name w:val="正文首行缩进 2 Char"/>
    <w:basedOn w:val="298"/>
    <w:link w:val="44"/>
    <w:qFormat/>
    <w:uiPriority w:val="0"/>
    <w:rPr>
      <w:szCs w:val="24"/>
    </w:rPr>
  </w:style>
  <w:style w:type="paragraph" w:customStyle="1" w:styleId="305">
    <w:name w:val="_Style 1"/>
    <w:basedOn w:val="1"/>
    <w:qFormat/>
    <w:uiPriority w:val="0"/>
    <w:pPr>
      <w:ind w:firstLine="420"/>
    </w:pPr>
    <w:rPr>
      <w:rFonts w:ascii="Calibri" w:hAnsi="Calibri"/>
      <w:sz w:val="21"/>
      <w:szCs w:val="22"/>
    </w:rPr>
  </w:style>
  <w:style w:type="character" w:customStyle="1" w:styleId="306">
    <w:name w:val="批注文字 Char2"/>
    <w:qFormat/>
    <w:uiPriority w:val="0"/>
    <w:rPr>
      <w:rFonts w:ascii="Times New Roman" w:hAnsi="Times New Roman" w:eastAsia="宋体" w:cs="Times New Roman"/>
      <w:sz w:val="21"/>
      <w:szCs w:val="24"/>
    </w:rPr>
  </w:style>
  <w:style w:type="paragraph" w:customStyle="1" w:styleId="307">
    <w:name w:val="_Style 77"/>
    <w:qFormat/>
    <w:uiPriority w:val="0"/>
    <w:pPr>
      <w:widowControl w:val="0"/>
      <w:jc w:val="both"/>
    </w:pPr>
    <w:rPr>
      <w:rFonts w:hint="default" w:asciiTheme="minorHAnsi" w:hAnsiTheme="minorHAnsi" w:eastAsiaTheme="minorEastAsia" w:cstheme="minorBidi"/>
      <w:sz w:val="21"/>
      <w:szCs w:val="22"/>
      <w:lang w:val="en-US" w:eastAsia="zh-CN" w:bidi="ar-SA"/>
    </w:rPr>
  </w:style>
  <w:style w:type="character" w:customStyle="1" w:styleId="308">
    <w:name w:val="明显引用 Char1"/>
    <w:basedOn w:val="47"/>
    <w:qFormat/>
    <w:uiPriority w:val="30"/>
    <w:rPr>
      <w:rFonts w:ascii="Times New Roman" w:hAnsi="Times New Roman" w:eastAsia="宋体" w:cs="Times New Roman"/>
      <w:b/>
      <w:bCs/>
      <w:i/>
      <w:iCs/>
      <w:color w:val="4F81BD" w:themeColor="accent1"/>
      <w:sz w:val="21"/>
      <w:szCs w:val="24"/>
      <w14:textFill>
        <w14:solidFill>
          <w14:schemeClr w14:val="accent1"/>
        </w14:solidFill>
      </w14:textFill>
    </w:rPr>
  </w:style>
  <w:style w:type="character" w:customStyle="1" w:styleId="309">
    <w:name w:val="引用 Char1"/>
    <w:qFormat/>
    <w:uiPriority w:val="29"/>
    <w:rPr>
      <w:rFonts w:ascii="Times New Roman" w:hAnsi="Times New Roman" w:eastAsia="宋体" w:cs="Times New Roman"/>
      <w:i/>
      <w:iCs/>
      <w:color w:val="000000"/>
      <w:szCs w:val="24"/>
    </w:rPr>
  </w:style>
  <w:style w:type="character" w:customStyle="1" w:styleId="310">
    <w:name w:val="z-窗体顶端 Char"/>
    <w:link w:val="311"/>
    <w:qFormat/>
    <w:uiPriority w:val="0"/>
    <w:rPr>
      <w:rFonts w:ascii="Arial" w:hAnsi="Arial" w:cs="Arial"/>
      <w:vanish/>
      <w:sz w:val="16"/>
      <w:szCs w:val="16"/>
    </w:rPr>
  </w:style>
  <w:style w:type="paragraph" w:customStyle="1" w:styleId="311">
    <w:name w:val="z-窗体顶端1"/>
    <w:basedOn w:val="1"/>
    <w:next w:val="1"/>
    <w:link w:val="310"/>
    <w:qFormat/>
    <w:uiPriority w:val="0"/>
    <w:pPr>
      <w:pBdr>
        <w:bottom w:val="single" w:color="auto" w:sz="6" w:space="1"/>
      </w:pBdr>
      <w:jc w:val="center"/>
    </w:pPr>
    <w:rPr>
      <w:rFonts w:ascii="Arial" w:hAnsi="Arial" w:cs="Arial"/>
      <w:vanish/>
      <w:sz w:val="16"/>
      <w:szCs w:val="16"/>
    </w:rPr>
  </w:style>
  <w:style w:type="character" w:customStyle="1" w:styleId="312">
    <w:name w:val="z-窗体顶端 Char1"/>
    <w:basedOn w:val="47"/>
    <w:link w:val="313"/>
    <w:qFormat/>
    <w:uiPriority w:val="0"/>
    <w:rPr>
      <w:rFonts w:ascii="Arial" w:hAnsi="Arial" w:cs="Arial"/>
      <w:vanish/>
      <w:sz w:val="16"/>
      <w:szCs w:val="16"/>
    </w:rPr>
  </w:style>
  <w:style w:type="paragraph" w:customStyle="1" w:styleId="313">
    <w:name w:val="z-窗体顶端2"/>
    <w:basedOn w:val="1"/>
    <w:next w:val="1"/>
    <w:link w:val="312"/>
    <w:qFormat/>
    <w:uiPriority w:val="0"/>
    <w:pPr>
      <w:pBdr>
        <w:bottom w:val="single" w:color="auto" w:sz="6" w:space="1"/>
      </w:pBdr>
      <w:jc w:val="center"/>
    </w:pPr>
    <w:rPr>
      <w:rFonts w:ascii="Arial" w:hAnsi="Arial" w:cs="Arial"/>
      <w:vanish/>
      <w:sz w:val="16"/>
      <w:szCs w:val="16"/>
    </w:rPr>
  </w:style>
  <w:style w:type="character" w:customStyle="1" w:styleId="314">
    <w:name w:val="Document Map Char"/>
    <w:qFormat/>
    <w:uiPriority w:val="99"/>
    <w:rPr>
      <w:rFonts w:eastAsia="宋体"/>
      <w:sz w:val="21"/>
      <w:szCs w:val="24"/>
      <w:lang w:val="en-US" w:eastAsia="zh-CN" w:bidi="ar-SA"/>
    </w:rPr>
  </w:style>
  <w:style w:type="character" w:customStyle="1" w:styleId="315">
    <w:name w:val="Body Text Indent 2 Char"/>
    <w:qFormat/>
    <w:uiPriority w:val="0"/>
    <w:rPr>
      <w:rFonts w:eastAsia="宋体"/>
      <w:sz w:val="21"/>
      <w:szCs w:val="24"/>
      <w:lang w:val="en-US" w:eastAsia="zh-CN" w:bidi="ar-SA"/>
    </w:rPr>
  </w:style>
  <w:style w:type="character" w:customStyle="1" w:styleId="316">
    <w:name w:val="标题5 Char Char"/>
    <w:link w:val="317"/>
    <w:qFormat/>
    <w:uiPriority w:val="0"/>
    <w:rPr>
      <w:rFonts w:ascii="Arial" w:hAnsi="Arial"/>
      <w:b/>
      <w:bCs/>
      <w:sz w:val="24"/>
      <w:szCs w:val="32"/>
    </w:rPr>
  </w:style>
  <w:style w:type="paragraph" w:customStyle="1" w:styleId="317">
    <w:name w:val="标题5"/>
    <w:basedOn w:val="4"/>
    <w:link w:val="316"/>
    <w:qFormat/>
    <w:uiPriority w:val="0"/>
    <w:pPr>
      <w:spacing w:before="260" w:after="260" w:line="413" w:lineRule="auto"/>
    </w:pPr>
    <w:rPr>
      <w:rFonts w:eastAsia="宋体" w:cs="Times New Roman"/>
      <w:b/>
      <w:bCs/>
      <w:sz w:val="24"/>
      <w:szCs w:val="32"/>
    </w:rPr>
  </w:style>
  <w:style w:type="character" w:customStyle="1" w:styleId="318">
    <w:name w:val="标题 Char2"/>
    <w:qFormat/>
    <w:uiPriority w:val="0"/>
    <w:rPr>
      <w:rFonts w:ascii="Cambria" w:hAnsi="Cambria" w:eastAsia="宋体" w:cs="Times New Roman"/>
      <w:b/>
      <w:bCs/>
      <w:sz w:val="32"/>
      <w:szCs w:val="32"/>
    </w:rPr>
  </w:style>
  <w:style w:type="character" w:customStyle="1" w:styleId="319">
    <w:name w:val="Char Char24"/>
    <w:qFormat/>
    <w:uiPriority w:val="0"/>
    <w:rPr>
      <w:rFonts w:eastAsia="宋体"/>
      <w:b/>
      <w:bCs/>
      <w:sz w:val="32"/>
      <w:szCs w:val="44"/>
      <w:lang w:val="en-US" w:eastAsia="zh-CN" w:bidi="ar-SA"/>
    </w:rPr>
  </w:style>
  <w:style w:type="character" w:customStyle="1" w:styleId="320">
    <w:name w:val="Char Char6"/>
    <w:qFormat/>
    <w:uiPriority w:val="0"/>
    <w:rPr>
      <w:rFonts w:eastAsia="宋体"/>
      <w:b/>
      <w:bCs/>
      <w:sz w:val="32"/>
      <w:szCs w:val="44"/>
      <w:lang w:val="en-US" w:eastAsia="zh-CN" w:bidi="ar-SA"/>
    </w:rPr>
  </w:style>
  <w:style w:type="character" w:customStyle="1" w:styleId="321">
    <w:name w:val="Char Char21"/>
    <w:qFormat/>
    <w:uiPriority w:val="0"/>
    <w:rPr>
      <w:rFonts w:ascii="Arial" w:hAnsi="Arial" w:eastAsia="黑体" w:cs="Times New Roman"/>
      <w:b/>
      <w:bCs/>
      <w:sz w:val="32"/>
      <w:szCs w:val="32"/>
    </w:rPr>
  </w:style>
  <w:style w:type="character" w:customStyle="1" w:styleId="322">
    <w:name w:val="书籍标题1"/>
    <w:qFormat/>
    <w:uiPriority w:val="0"/>
    <w:rPr>
      <w:b/>
      <w:bCs/>
      <w:smallCaps/>
      <w:spacing w:val="5"/>
    </w:rPr>
  </w:style>
  <w:style w:type="character" w:customStyle="1" w:styleId="323">
    <w:name w:val="标题4 Char Char"/>
    <w:link w:val="324"/>
    <w:qFormat/>
    <w:uiPriority w:val="0"/>
    <w:rPr>
      <w:rFonts w:ascii="Arial" w:hAnsi="Arial"/>
      <w:b/>
      <w:bCs/>
      <w:sz w:val="24"/>
      <w:szCs w:val="32"/>
    </w:rPr>
  </w:style>
  <w:style w:type="paragraph" w:customStyle="1" w:styleId="324">
    <w:name w:val="标题4"/>
    <w:basedOn w:val="3"/>
    <w:next w:val="20"/>
    <w:link w:val="323"/>
    <w:qFormat/>
    <w:uiPriority w:val="0"/>
    <w:pPr>
      <w:spacing w:before="60" w:after="60" w:line="413" w:lineRule="auto"/>
    </w:pPr>
    <w:rPr>
      <w:rFonts w:eastAsia="宋体" w:cs="Times New Roman"/>
      <w:b/>
      <w:bCs/>
      <w:sz w:val="24"/>
      <w:szCs w:val="32"/>
    </w:rPr>
  </w:style>
  <w:style w:type="character" w:customStyle="1" w:styleId="325">
    <w:name w:val="正文文本 Char1"/>
    <w:qFormat/>
    <w:uiPriority w:val="0"/>
    <w:rPr>
      <w:sz w:val="21"/>
      <w:szCs w:val="22"/>
    </w:rPr>
  </w:style>
  <w:style w:type="character" w:customStyle="1" w:styleId="326">
    <w:name w:val="Char Char1"/>
    <w:qFormat/>
    <w:uiPriority w:val="0"/>
    <w:rPr>
      <w:rFonts w:ascii="Arial" w:hAnsi="Arial" w:eastAsia="黑体"/>
      <w:b/>
      <w:bCs/>
      <w:sz w:val="32"/>
      <w:szCs w:val="32"/>
      <w:lang w:val="en-US" w:eastAsia="zh-CN" w:bidi="ar-SA"/>
    </w:rPr>
  </w:style>
  <w:style w:type="character" w:customStyle="1" w:styleId="327">
    <w:name w:val="正文首行缩进 Char1"/>
    <w:qFormat/>
    <w:uiPriority w:val="99"/>
    <w:rPr>
      <w:szCs w:val="24"/>
      <w:lang w:val="en-US" w:eastAsia="zh-CN" w:bidi="ar-SA"/>
    </w:rPr>
  </w:style>
  <w:style w:type="character" w:customStyle="1" w:styleId="328">
    <w:name w:val="z-窗体底端 Char2"/>
    <w:qFormat/>
    <w:uiPriority w:val="99"/>
    <w:rPr>
      <w:rFonts w:ascii="Arial" w:hAnsi="Arial" w:cs="Arial"/>
      <w:vanish/>
      <w:sz w:val="16"/>
      <w:szCs w:val="16"/>
    </w:rPr>
  </w:style>
  <w:style w:type="character" w:customStyle="1" w:styleId="329">
    <w:name w:val="Char Char91"/>
    <w:qFormat/>
    <w:uiPriority w:val="0"/>
    <w:rPr>
      <w:rFonts w:eastAsia="宋体"/>
      <w:b/>
      <w:bCs/>
      <w:sz w:val="32"/>
      <w:szCs w:val="44"/>
      <w:lang w:val="en-US" w:eastAsia="zh-CN" w:bidi="ar-SA"/>
    </w:rPr>
  </w:style>
  <w:style w:type="character" w:customStyle="1" w:styleId="330">
    <w:name w:val="Blockquote Char Char"/>
    <w:link w:val="331"/>
    <w:qFormat/>
    <w:uiPriority w:val="0"/>
    <w:rPr>
      <w:rFonts w:cs="宋体"/>
      <w:sz w:val="24"/>
      <w:szCs w:val="24"/>
    </w:rPr>
  </w:style>
  <w:style w:type="paragraph" w:customStyle="1" w:styleId="331">
    <w:name w:val="Blockquote"/>
    <w:basedOn w:val="1"/>
    <w:link w:val="330"/>
    <w:qFormat/>
    <w:uiPriority w:val="0"/>
    <w:pPr>
      <w:spacing w:before="100" w:after="100"/>
      <w:ind w:left="360" w:right="360"/>
      <w:jc w:val="left"/>
    </w:pPr>
    <w:rPr>
      <w:rFonts w:cs="宋体"/>
    </w:rPr>
  </w:style>
  <w:style w:type="character" w:customStyle="1" w:styleId="332">
    <w:name w:val="正文文本 3 Char1"/>
    <w:qFormat/>
    <w:uiPriority w:val="99"/>
    <w:rPr>
      <w:sz w:val="16"/>
      <w:szCs w:val="16"/>
    </w:rPr>
  </w:style>
  <w:style w:type="character" w:customStyle="1" w:styleId="333">
    <w:name w:val="Char Char18"/>
    <w:qFormat/>
    <w:uiPriority w:val="0"/>
    <w:rPr>
      <w:rFonts w:ascii="Times New Roman" w:hAnsi="Times New Roman" w:eastAsia="宋体" w:cs="Times New Roman"/>
      <w:b/>
      <w:bCs/>
      <w:sz w:val="28"/>
      <w:szCs w:val="28"/>
    </w:rPr>
  </w:style>
  <w:style w:type="character" w:customStyle="1" w:styleId="334">
    <w:name w:val="样式 Char"/>
    <w:link w:val="335"/>
    <w:qFormat/>
    <w:uiPriority w:val="0"/>
    <w:rPr>
      <w:rFonts w:ascii="宋体" w:hAnsi="宋体" w:cs="宋体"/>
      <w:sz w:val="24"/>
      <w:szCs w:val="24"/>
    </w:rPr>
  </w:style>
  <w:style w:type="paragraph" w:customStyle="1" w:styleId="335">
    <w:name w:val="样式"/>
    <w:link w:val="334"/>
    <w:qFormat/>
    <w:uiPriority w:val="0"/>
    <w:pPr>
      <w:widowControl w:val="0"/>
    </w:pPr>
    <w:rPr>
      <w:rFonts w:hint="default" w:ascii="宋体" w:hAnsi="宋体" w:eastAsia="宋体" w:cs="宋体"/>
      <w:sz w:val="24"/>
      <w:szCs w:val="24"/>
      <w:lang w:val="en-US" w:eastAsia="zh-CN" w:bidi="ar-SA"/>
    </w:rPr>
  </w:style>
  <w:style w:type="character" w:customStyle="1" w:styleId="336">
    <w:name w:val="尾注文本 Char1"/>
    <w:qFormat/>
    <w:uiPriority w:val="99"/>
    <w:rPr>
      <w:sz w:val="21"/>
      <w:szCs w:val="24"/>
    </w:rPr>
  </w:style>
  <w:style w:type="character" w:customStyle="1" w:styleId="337">
    <w:name w:val="Balloon Text Char"/>
    <w:qFormat/>
    <w:uiPriority w:val="0"/>
    <w:rPr>
      <w:sz w:val="18"/>
      <w:lang w:bidi="ar-SA"/>
    </w:rPr>
  </w:style>
  <w:style w:type="character" w:customStyle="1" w:styleId="338">
    <w:name w:val="z-窗体顶端 Char2"/>
    <w:qFormat/>
    <w:uiPriority w:val="99"/>
    <w:rPr>
      <w:rFonts w:ascii="Arial" w:hAnsi="Arial" w:cs="Arial"/>
      <w:vanish/>
      <w:sz w:val="16"/>
      <w:szCs w:val="16"/>
    </w:rPr>
  </w:style>
  <w:style w:type="character" w:customStyle="1" w:styleId="339">
    <w:name w:val="明显参考1"/>
    <w:qFormat/>
    <w:uiPriority w:val="0"/>
    <w:rPr>
      <w:b/>
      <w:bCs/>
      <w:smallCaps/>
      <w:color w:val="C0504D"/>
      <w:spacing w:val="5"/>
      <w:u w:val="single"/>
    </w:rPr>
  </w:style>
  <w:style w:type="character" w:customStyle="1" w:styleId="340">
    <w:name w:val="正文文本缩进 Char1"/>
    <w:qFormat/>
    <w:uiPriority w:val="0"/>
    <w:rPr>
      <w:sz w:val="21"/>
      <w:szCs w:val="24"/>
    </w:rPr>
  </w:style>
  <w:style w:type="character" w:customStyle="1" w:styleId="341">
    <w:name w:val="Char Char4"/>
    <w:qFormat/>
    <w:uiPriority w:val="0"/>
    <w:rPr>
      <w:rFonts w:ascii="Arial" w:hAnsi="Arial" w:eastAsia="黑体"/>
      <w:bCs/>
      <w:sz w:val="24"/>
      <w:szCs w:val="28"/>
      <w:lang w:val="en-US" w:eastAsia="zh-CN" w:bidi="ar-SA"/>
    </w:rPr>
  </w:style>
  <w:style w:type="character" w:customStyle="1" w:styleId="342">
    <w:name w:val="样式 粉红"/>
    <w:qFormat/>
    <w:uiPriority w:val="0"/>
    <w:rPr>
      <w:color w:val="auto"/>
      <w:u w:val="none"/>
    </w:rPr>
  </w:style>
  <w:style w:type="character" w:customStyle="1" w:styleId="343">
    <w:name w:val="Plain Text Char"/>
    <w:qFormat/>
    <w:uiPriority w:val="0"/>
    <w:rPr>
      <w:rFonts w:ascii="宋体" w:hAnsi="Courier New" w:eastAsia="宋体"/>
      <w:sz w:val="24"/>
      <w:lang w:bidi="ar-SA"/>
    </w:rPr>
  </w:style>
  <w:style w:type="character" w:customStyle="1" w:styleId="344">
    <w:name w:val="Char Char20"/>
    <w:qFormat/>
    <w:uiPriority w:val="0"/>
    <w:rPr>
      <w:rFonts w:ascii="Times New Roman" w:hAnsi="Times New Roman" w:eastAsia="宋体" w:cs="Times New Roman"/>
      <w:b/>
      <w:bCs/>
      <w:sz w:val="24"/>
      <w:szCs w:val="32"/>
    </w:rPr>
  </w:style>
  <w:style w:type="character" w:customStyle="1" w:styleId="345">
    <w:name w:val="z-窗体底端 Char1"/>
    <w:link w:val="346"/>
    <w:qFormat/>
    <w:uiPriority w:val="0"/>
    <w:rPr>
      <w:rFonts w:ascii="Arial" w:hAnsi="Arial" w:cs="Arial"/>
      <w:vanish/>
      <w:sz w:val="16"/>
      <w:szCs w:val="16"/>
    </w:rPr>
  </w:style>
  <w:style w:type="paragraph" w:customStyle="1" w:styleId="346">
    <w:name w:val="z-窗体底端2"/>
    <w:basedOn w:val="1"/>
    <w:next w:val="1"/>
    <w:link w:val="345"/>
    <w:qFormat/>
    <w:uiPriority w:val="0"/>
    <w:pPr>
      <w:pBdr>
        <w:top w:val="single" w:color="auto" w:sz="6" w:space="1"/>
      </w:pBdr>
      <w:jc w:val="center"/>
    </w:pPr>
    <w:rPr>
      <w:rFonts w:ascii="Arial" w:hAnsi="Arial" w:cs="Arial"/>
      <w:vanish/>
      <w:sz w:val="16"/>
      <w:szCs w:val="16"/>
    </w:rPr>
  </w:style>
  <w:style w:type="character" w:customStyle="1" w:styleId="347">
    <w:name w:val="Char Char22"/>
    <w:qFormat/>
    <w:uiPriority w:val="0"/>
    <w:rPr>
      <w:rFonts w:ascii="Times New Roman" w:hAnsi="Times New Roman" w:eastAsia="宋体" w:cs="Times New Roman"/>
      <w:b/>
      <w:bCs/>
      <w:sz w:val="32"/>
      <w:szCs w:val="44"/>
    </w:rPr>
  </w:style>
  <w:style w:type="character" w:customStyle="1" w:styleId="348">
    <w:name w:val="标题 Char1"/>
    <w:qFormat/>
    <w:uiPriority w:val="10"/>
    <w:rPr>
      <w:rFonts w:ascii="Cambria" w:hAnsi="Cambria" w:eastAsia="宋体" w:cs="Times New Roman"/>
      <w:b/>
      <w:bCs/>
      <w:sz w:val="32"/>
      <w:szCs w:val="32"/>
    </w:rPr>
  </w:style>
  <w:style w:type="character" w:customStyle="1" w:styleId="349">
    <w:name w:val="Heading 3 Char1"/>
    <w:qFormat/>
    <w:uiPriority w:val="0"/>
    <w:rPr>
      <w:rFonts w:eastAsia="宋体"/>
      <w:b/>
      <w:bCs/>
      <w:sz w:val="24"/>
      <w:szCs w:val="32"/>
      <w:lang w:val="en-US" w:eastAsia="zh-CN" w:bidi="ar-SA"/>
    </w:rPr>
  </w:style>
  <w:style w:type="character" w:customStyle="1" w:styleId="350">
    <w:name w:val="副标题 Char1"/>
    <w:qFormat/>
    <w:uiPriority w:val="11"/>
    <w:rPr>
      <w:rFonts w:hint="default" w:ascii="Cambria" w:hAnsi="Cambria" w:cs="Times New Roman"/>
      <w:b/>
      <w:bCs/>
      <w:sz w:val="32"/>
      <w:szCs w:val="32"/>
    </w:rPr>
  </w:style>
  <w:style w:type="character" w:customStyle="1" w:styleId="351">
    <w:name w:val="textcontents"/>
    <w:qFormat/>
    <w:uiPriority w:val="0"/>
    <w:rPr>
      <w:rFonts w:cs="Times New Roman"/>
    </w:rPr>
  </w:style>
  <w:style w:type="character" w:customStyle="1" w:styleId="352">
    <w:name w:val="不明显参考1"/>
    <w:qFormat/>
    <w:uiPriority w:val="0"/>
    <w:rPr>
      <w:smallCaps/>
      <w:color w:val="C0504D"/>
      <w:u w:val="single"/>
    </w:rPr>
  </w:style>
  <w:style w:type="character" w:customStyle="1" w:styleId="353">
    <w:name w:val="批注文字 Char Char"/>
    <w:qFormat/>
    <w:uiPriority w:val="0"/>
    <w:rPr>
      <w:rFonts w:ascii="宋体" w:hAnsi="Times New Roman" w:eastAsia="宋体" w:cs="Times New Roman"/>
      <w:sz w:val="28"/>
      <w:szCs w:val="20"/>
    </w:rPr>
  </w:style>
  <w:style w:type="character" w:customStyle="1" w:styleId="354">
    <w:name w:val="引用 Char2"/>
    <w:basedOn w:val="47"/>
    <w:qFormat/>
    <w:uiPriority w:val="0"/>
    <w:rPr>
      <w:rFonts w:ascii="Times New Roman" w:hAnsi="Times New Roman" w:eastAsia="宋体" w:cs="Times New Roman"/>
      <w:i/>
      <w:iCs/>
      <w:color w:val="000000" w:themeColor="text1"/>
      <w:sz w:val="21"/>
      <w:szCs w:val="24"/>
      <w14:textFill>
        <w14:solidFill>
          <w14:schemeClr w14:val="tx1"/>
        </w14:solidFill>
      </w14:textFill>
    </w:rPr>
  </w:style>
  <w:style w:type="character" w:customStyle="1" w:styleId="355">
    <w:name w:val="Char Char"/>
    <w:qFormat/>
    <w:uiPriority w:val="0"/>
    <w:rPr>
      <w:rFonts w:eastAsia="黑体"/>
      <w:bCs/>
      <w:sz w:val="28"/>
      <w:szCs w:val="32"/>
      <w:lang w:val="en-US" w:eastAsia="zh-CN" w:bidi="ar-SA"/>
    </w:rPr>
  </w:style>
  <w:style w:type="character" w:customStyle="1" w:styleId="356">
    <w:name w:val="Char Char2"/>
    <w:qFormat/>
    <w:uiPriority w:val="0"/>
    <w:rPr>
      <w:rFonts w:ascii="Arial" w:hAnsi="Arial" w:eastAsia="黑体"/>
      <w:b/>
      <w:bCs/>
      <w:sz w:val="32"/>
      <w:szCs w:val="32"/>
      <w:lang w:val="en-US" w:eastAsia="zh-CN" w:bidi="ar-SA"/>
    </w:rPr>
  </w:style>
  <w:style w:type="character" w:customStyle="1" w:styleId="357">
    <w:name w:val="批注文字 Char1"/>
    <w:qFormat/>
    <w:uiPriority w:val="0"/>
    <w:rPr>
      <w:rFonts w:ascii="Times New Roman" w:hAnsi="Times New Roman" w:eastAsia="宋体" w:cs="Times New Roman"/>
      <w:szCs w:val="24"/>
    </w:rPr>
  </w:style>
  <w:style w:type="character" w:customStyle="1" w:styleId="358">
    <w:name w:val="Date Char"/>
    <w:qFormat/>
    <w:uiPriority w:val="0"/>
    <w:rPr>
      <w:rFonts w:eastAsia="宋体"/>
      <w:sz w:val="21"/>
      <w:szCs w:val="24"/>
      <w:lang w:val="en-US" w:eastAsia="zh-CN" w:bidi="ar-SA"/>
    </w:rPr>
  </w:style>
  <w:style w:type="character" w:customStyle="1" w:styleId="359">
    <w:name w:val="日期 Char1"/>
    <w:qFormat/>
    <w:uiPriority w:val="0"/>
    <w:rPr>
      <w:rFonts w:ascii="Times New Roman" w:hAnsi="Times New Roman" w:eastAsia="宋体" w:cs="Times New Roman"/>
      <w:szCs w:val="24"/>
    </w:rPr>
  </w:style>
  <w:style w:type="character" w:customStyle="1" w:styleId="360">
    <w:name w:val="Comment Subject Char"/>
    <w:qFormat/>
    <w:uiPriority w:val="0"/>
    <w:rPr>
      <w:b/>
      <w:sz w:val="24"/>
      <w:lang w:bidi="ar-SA"/>
    </w:rPr>
  </w:style>
  <w:style w:type="character" w:customStyle="1" w:styleId="361">
    <w:name w:val="Char Char19"/>
    <w:qFormat/>
    <w:uiPriority w:val="0"/>
    <w:rPr>
      <w:rFonts w:ascii="Arial" w:hAnsi="Arial" w:eastAsia="宋体" w:cs="Times New Roman"/>
      <w:b/>
      <w:bCs/>
      <w:szCs w:val="28"/>
    </w:rPr>
  </w:style>
  <w:style w:type="character" w:customStyle="1" w:styleId="362">
    <w:name w:val="Body Text Indent Char"/>
    <w:qFormat/>
    <w:uiPriority w:val="0"/>
    <w:rPr>
      <w:rFonts w:ascii="宋体" w:hAnsi="宋体" w:eastAsia="宋体"/>
      <w:sz w:val="21"/>
      <w:lang w:val="en-US" w:eastAsia="zh-CN" w:bidi="ar-SA"/>
    </w:rPr>
  </w:style>
  <w:style w:type="character" w:customStyle="1" w:styleId="363">
    <w:name w:val="不明显强调1"/>
    <w:qFormat/>
    <w:uiPriority w:val="0"/>
    <w:rPr>
      <w:i/>
      <w:iCs/>
      <w:color w:val="808080"/>
    </w:rPr>
  </w:style>
  <w:style w:type="character" w:customStyle="1" w:styleId="364">
    <w:name w:val="Comment Text Char"/>
    <w:qFormat/>
    <w:uiPriority w:val="0"/>
    <w:rPr>
      <w:rFonts w:cs="Times New Roman"/>
      <w:sz w:val="24"/>
      <w:szCs w:val="24"/>
    </w:rPr>
  </w:style>
  <w:style w:type="character" w:customStyle="1" w:styleId="365">
    <w:name w:val="文档结构图 Char1"/>
    <w:qFormat/>
    <w:uiPriority w:val="99"/>
    <w:rPr>
      <w:rFonts w:ascii="宋体" w:hAnsi="Times New Roman" w:eastAsia="宋体" w:cs="Times New Roman"/>
      <w:sz w:val="18"/>
      <w:szCs w:val="18"/>
    </w:rPr>
  </w:style>
  <w:style w:type="character" w:customStyle="1" w:styleId="366">
    <w:name w:val="Char Char Char"/>
    <w:qFormat/>
    <w:uiPriority w:val="0"/>
    <w:rPr>
      <w:rFonts w:eastAsia="黑体"/>
      <w:bCs/>
      <w:sz w:val="28"/>
      <w:szCs w:val="32"/>
      <w:lang w:val="en-US" w:eastAsia="zh-CN" w:bidi="ar-SA"/>
    </w:rPr>
  </w:style>
  <w:style w:type="character" w:customStyle="1" w:styleId="367">
    <w:name w:val="Char Char9"/>
    <w:qFormat/>
    <w:uiPriority w:val="0"/>
    <w:rPr>
      <w:rFonts w:eastAsia="宋体"/>
      <w:b/>
      <w:bCs/>
      <w:sz w:val="32"/>
      <w:szCs w:val="44"/>
      <w:lang w:val="en-US" w:eastAsia="zh-CN" w:bidi="ar-SA"/>
    </w:rPr>
  </w:style>
  <w:style w:type="character" w:customStyle="1" w:styleId="368">
    <w:name w:val="Char Char3"/>
    <w:qFormat/>
    <w:uiPriority w:val="0"/>
    <w:rPr>
      <w:b/>
      <w:bCs/>
      <w:sz w:val="32"/>
      <w:szCs w:val="32"/>
    </w:rPr>
  </w:style>
  <w:style w:type="character" w:customStyle="1" w:styleId="369">
    <w:name w:val="Char Char5"/>
    <w:qFormat/>
    <w:uiPriority w:val="0"/>
    <w:rPr>
      <w:rFonts w:eastAsia="黑体"/>
      <w:b/>
      <w:bCs/>
      <w:sz w:val="72"/>
      <w:szCs w:val="44"/>
      <w:lang w:val="en-US" w:eastAsia="zh-CN" w:bidi="ar-SA"/>
    </w:rPr>
  </w:style>
  <w:style w:type="character" w:customStyle="1" w:styleId="370">
    <w:name w:val="Char Char23"/>
    <w:qFormat/>
    <w:uiPriority w:val="0"/>
    <w:rPr>
      <w:rFonts w:eastAsia="宋体"/>
      <w:b/>
      <w:bCs/>
      <w:sz w:val="32"/>
      <w:szCs w:val="44"/>
      <w:lang w:val="en-US" w:eastAsia="zh-CN" w:bidi="ar-SA"/>
    </w:rPr>
  </w:style>
  <w:style w:type="character" w:customStyle="1" w:styleId="371">
    <w:name w:val="明显强调1"/>
    <w:qFormat/>
    <w:uiPriority w:val="0"/>
    <w:rPr>
      <w:b/>
      <w:bCs/>
      <w:i/>
      <w:iCs/>
      <w:color w:val="4F81BD"/>
    </w:rPr>
  </w:style>
  <w:style w:type="character" w:customStyle="1" w:styleId="372">
    <w:name w:val="z-窗体底端 Char"/>
    <w:link w:val="373"/>
    <w:qFormat/>
    <w:uiPriority w:val="0"/>
    <w:rPr>
      <w:rFonts w:ascii="Arial" w:hAnsi="Arial" w:cs="Arial"/>
      <w:vanish/>
      <w:sz w:val="16"/>
      <w:szCs w:val="16"/>
    </w:rPr>
  </w:style>
  <w:style w:type="paragraph" w:customStyle="1" w:styleId="373">
    <w:name w:val="z-窗体底端1"/>
    <w:basedOn w:val="1"/>
    <w:next w:val="1"/>
    <w:link w:val="372"/>
    <w:qFormat/>
    <w:uiPriority w:val="0"/>
    <w:pPr>
      <w:pBdr>
        <w:top w:val="single" w:color="auto" w:sz="6" w:space="1"/>
      </w:pBdr>
      <w:jc w:val="center"/>
    </w:pPr>
    <w:rPr>
      <w:rFonts w:ascii="Arial" w:hAnsi="Arial" w:cs="Arial"/>
      <w:vanish/>
      <w:sz w:val="16"/>
      <w:szCs w:val="16"/>
    </w:rPr>
  </w:style>
  <w:style w:type="character" w:customStyle="1" w:styleId="374">
    <w:name w:val="z-窗体底端 Char3"/>
    <w:basedOn w:val="47"/>
    <w:qFormat/>
    <w:uiPriority w:val="0"/>
    <w:rPr>
      <w:rFonts w:ascii="Arial" w:hAnsi="Arial" w:cs="Arial"/>
      <w:vanish/>
      <w:sz w:val="16"/>
      <w:szCs w:val="16"/>
    </w:rPr>
  </w:style>
  <w:style w:type="character" w:customStyle="1" w:styleId="375">
    <w:name w:val="批注主题 Char1"/>
    <w:qFormat/>
    <w:uiPriority w:val="99"/>
    <w:rPr>
      <w:rFonts w:ascii="Times New Roman" w:hAnsi="Times New Roman" w:eastAsia="宋体" w:cs="Times New Roman"/>
      <w:b/>
      <w:bCs/>
      <w:szCs w:val="24"/>
    </w:rPr>
  </w:style>
  <w:style w:type="character" w:customStyle="1" w:styleId="376">
    <w:name w:val="Comment Text Char1"/>
    <w:qFormat/>
    <w:uiPriority w:val="0"/>
    <w:rPr>
      <w:sz w:val="24"/>
      <w:lang w:bidi="ar-SA"/>
    </w:rPr>
  </w:style>
  <w:style w:type="character" w:customStyle="1" w:styleId="377">
    <w:name w:val="超链接_0"/>
    <w:qFormat/>
    <w:uiPriority w:val="99"/>
    <w:rPr>
      <w:rFonts w:ascii="Calibri" w:hAnsi="Calibri" w:cs="Times New Roman"/>
      <w:color w:val="0000FF"/>
      <w:u w:val="single"/>
    </w:rPr>
  </w:style>
  <w:style w:type="character" w:customStyle="1" w:styleId="378">
    <w:name w:val="标题 2 Char1"/>
    <w:qFormat/>
    <w:uiPriority w:val="0"/>
    <w:rPr>
      <w:rFonts w:ascii="Arial" w:hAnsi="Arial" w:eastAsia="黑体" w:cs="Calibri"/>
      <w:b/>
      <w:sz w:val="32"/>
      <w:szCs w:val="20"/>
    </w:rPr>
  </w:style>
  <w:style w:type="character" w:customStyle="1" w:styleId="379">
    <w:name w:val="标题 3 Char1"/>
    <w:qFormat/>
    <w:uiPriority w:val="0"/>
    <w:rPr>
      <w:rFonts w:ascii="Calibri" w:hAnsi="Calibri" w:eastAsia="宋体" w:cs="Arial"/>
      <w:b/>
      <w:sz w:val="32"/>
      <w:szCs w:val="20"/>
    </w:rPr>
  </w:style>
  <w:style w:type="character" w:customStyle="1" w:styleId="380">
    <w:name w:val="Char Char181"/>
    <w:qFormat/>
    <w:uiPriority w:val="0"/>
    <w:rPr>
      <w:b/>
      <w:bCs/>
      <w:sz w:val="44"/>
      <w:szCs w:val="44"/>
    </w:rPr>
  </w:style>
  <w:style w:type="character" w:customStyle="1" w:styleId="381">
    <w:name w:val="纯文本 Char1"/>
    <w:qFormat/>
    <w:uiPriority w:val="0"/>
    <w:rPr>
      <w:rFonts w:ascii="宋体" w:hAnsi="Courier New" w:eastAsia="宋体" w:cs="Courier New"/>
      <w:szCs w:val="21"/>
    </w:rPr>
  </w:style>
  <w:style w:type="character" w:customStyle="1" w:styleId="382">
    <w:name w:val="grame"/>
    <w:qFormat/>
    <w:uiPriority w:val="0"/>
  </w:style>
  <w:style w:type="paragraph" w:customStyle="1" w:styleId="383">
    <w:name w:val="_Style 37"/>
    <w:basedOn w:val="1"/>
    <w:next w:val="1"/>
    <w:qFormat/>
    <w:uiPriority w:val="0"/>
    <w:rPr>
      <w:sz w:val="21"/>
    </w:rPr>
  </w:style>
  <w:style w:type="paragraph" w:customStyle="1" w:styleId="384">
    <w:name w:val="Char1"/>
    <w:basedOn w:val="1"/>
    <w:qFormat/>
    <w:uiPriority w:val="0"/>
    <w:pPr>
      <w:widowControl/>
      <w:spacing w:after="160" w:line="240" w:lineRule="exact"/>
      <w:jc w:val="left"/>
    </w:pPr>
    <w:rPr>
      <w:sz w:val="21"/>
    </w:rPr>
  </w:style>
  <w:style w:type="paragraph" w:customStyle="1" w:styleId="385">
    <w:name w:val="标题 1_0"/>
    <w:basedOn w:val="269"/>
    <w:next w:val="269"/>
    <w:qFormat/>
    <w:uiPriority w:val="99"/>
    <w:pPr>
      <w:keepNext/>
      <w:keepLines/>
      <w:spacing w:before="340" w:after="330" w:line="576" w:lineRule="auto"/>
      <w:outlineLvl w:val="0"/>
    </w:pPr>
    <w:rPr>
      <w:b/>
      <w:bCs/>
      <w:sz w:val="44"/>
      <w:szCs w:val="44"/>
    </w:rPr>
  </w:style>
  <w:style w:type="paragraph" w:customStyle="1" w:styleId="386">
    <w:name w:val="金安桥正文"/>
    <w:basedOn w:val="19"/>
    <w:qFormat/>
    <w:uiPriority w:val="0"/>
    <w:pPr>
      <w:spacing w:before="0" w:line="300" w:lineRule="auto"/>
      <w:ind w:firstLine="200"/>
      <w:jc w:val="left"/>
    </w:pPr>
    <w:rPr>
      <w:rFonts w:ascii="Times New Roman" w:hAnsi="Times New Roman"/>
      <w:sz w:val="24"/>
    </w:rPr>
  </w:style>
  <w:style w:type="paragraph" w:customStyle="1" w:styleId="387">
    <w:name w:val="正文_1"/>
    <w:qFormat/>
    <w:uiPriority w:val="0"/>
    <w:rPr>
      <w:rFonts w:hint="default" w:ascii="Times New Roman" w:hAnsi="Times New Roman" w:eastAsia="宋体" w:cs="Times New Roman"/>
      <w:sz w:val="21"/>
      <w:szCs w:val="22"/>
      <w:lang w:val="en-US" w:eastAsia="zh-CN" w:bidi="ar-SA"/>
    </w:rPr>
  </w:style>
  <w:style w:type="paragraph" w:customStyle="1" w:styleId="388">
    <w:name w:val="标题_0"/>
    <w:basedOn w:val="387"/>
    <w:qFormat/>
    <w:uiPriority w:val="0"/>
    <w:pPr>
      <w:spacing w:before="120" w:after="120" w:line="360" w:lineRule="auto"/>
      <w:jc w:val="center"/>
      <w:outlineLvl w:val="0"/>
    </w:pPr>
    <w:rPr>
      <w:rFonts w:ascii="黑体" w:hAnsi="Arial" w:eastAsia="黑体"/>
      <w:b/>
      <w:bCs/>
      <w:sz w:val="32"/>
      <w:szCs w:val="32"/>
    </w:rPr>
  </w:style>
  <w:style w:type="paragraph" w:customStyle="1" w:styleId="389">
    <w:name w:val="修订1"/>
    <w:qFormat/>
    <w:uiPriority w:val="0"/>
    <w:rPr>
      <w:rFonts w:hint="default" w:ascii="Times New Roman" w:hAnsi="Times New Roman" w:eastAsia="宋体" w:cs="Times New Roman"/>
      <w:sz w:val="21"/>
      <w:szCs w:val="24"/>
      <w:lang w:val="en-US" w:eastAsia="zh-CN" w:bidi="ar-SA"/>
    </w:rPr>
  </w:style>
  <w:style w:type="paragraph" w:customStyle="1" w:styleId="390">
    <w:name w:val="正文缩进_0"/>
    <w:basedOn w:val="387"/>
    <w:qFormat/>
    <w:uiPriority w:val="0"/>
    <w:pPr>
      <w:widowControl w:val="0"/>
      <w:ind w:firstLine="420"/>
      <w:jc w:val="both"/>
    </w:pPr>
    <w:rPr>
      <w:u w:val="single"/>
    </w:rPr>
  </w:style>
  <w:style w:type="paragraph" w:customStyle="1" w:styleId="391">
    <w:name w:val="无间隔1"/>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92">
    <w:name w:val="样式 宋体"/>
    <w:basedOn w:val="1"/>
    <w:qFormat/>
    <w:uiPriority w:val="0"/>
    <w:pPr>
      <w:spacing w:line="360" w:lineRule="auto"/>
      <w:ind w:firstLine="100"/>
    </w:pPr>
    <w:rPr>
      <w:rFonts w:ascii="宋体" w:hAnsi="宋体" w:cs="宋体"/>
      <w:sz w:val="21"/>
      <w:szCs w:val="20"/>
    </w:rPr>
  </w:style>
  <w:style w:type="paragraph" w:customStyle="1" w:styleId="393">
    <w:name w:val="z-窗体底端11"/>
    <w:basedOn w:val="1"/>
    <w:next w:val="1"/>
    <w:unhideWhenUsed/>
    <w:qFormat/>
    <w:uiPriority w:val="0"/>
    <w:pPr>
      <w:pBdr>
        <w:top w:val="single" w:color="auto" w:sz="6" w:space="1"/>
      </w:pBdr>
      <w:jc w:val="center"/>
    </w:pPr>
    <w:rPr>
      <w:rFonts w:ascii="Arial" w:hAnsi="Arial" w:cs="Arial"/>
      <w:vanish/>
      <w:sz w:val="16"/>
      <w:szCs w:val="16"/>
    </w:rPr>
  </w:style>
  <w:style w:type="paragraph" w:customStyle="1" w:styleId="394">
    <w:name w:val="标题 3_0"/>
    <w:basedOn w:val="269"/>
    <w:next w:val="269"/>
    <w:link w:val="395"/>
    <w:qFormat/>
    <w:uiPriority w:val="0"/>
    <w:pPr>
      <w:keepNext/>
      <w:keepLines/>
      <w:spacing w:before="260" w:after="260" w:line="413" w:lineRule="auto"/>
      <w:outlineLvl w:val="2"/>
    </w:pPr>
    <w:rPr>
      <w:b/>
      <w:bCs/>
      <w:sz w:val="32"/>
      <w:szCs w:val="32"/>
    </w:rPr>
  </w:style>
  <w:style w:type="character" w:customStyle="1" w:styleId="395">
    <w:name w:val="标题 3 Char_0"/>
    <w:link w:val="394"/>
    <w:qFormat/>
    <w:uiPriority w:val="0"/>
    <w:rPr>
      <w:b/>
      <w:bCs/>
      <w:sz w:val="32"/>
      <w:szCs w:val="32"/>
    </w:rPr>
  </w:style>
  <w:style w:type="paragraph" w:customStyle="1" w:styleId="396">
    <w:name w:val="空半行"/>
    <w:basedOn w:val="1"/>
    <w:qFormat/>
    <w:uiPriority w:val="0"/>
    <w:pPr>
      <w:spacing w:line="120" w:lineRule="exact"/>
    </w:pPr>
    <w:rPr>
      <w:rFonts w:eastAsia="仿宋_GB2312"/>
      <w:color w:val="FFFFFF"/>
      <w:sz w:val="30"/>
      <w:szCs w:val="20"/>
    </w:rPr>
  </w:style>
  <w:style w:type="paragraph" w:customStyle="1" w:styleId="397">
    <w:name w:val="列出段落2"/>
    <w:basedOn w:val="1"/>
    <w:qFormat/>
    <w:uiPriority w:val="0"/>
    <w:pPr>
      <w:ind w:firstLine="420"/>
    </w:pPr>
    <w:rPr>
      <w:rFonts w:ascii="Calibri" w:hAnsi="Calibri"/>
      <w:sz w:val="21"/>
    </w:rPr>
  </w:style>
  <w:style w:type="character" w:customStyle="1" w:styleId="398">
    <w:name w:val="无间隔 Char"/>
    <w:link w:val="97"/>
    <w:qFormat/>
    <w:uiPriority w:val="0"/>
    <w:rPr>
      <w:rFonts w:ascii="Calibri" w:hAnsi="Calibri"/>
    </w:rPr>
  </w:style>
  <w:style w:type="paragraph" w:customStyle="1" w:styleId="399">
    <w:name w:val="样式2"/>
    <w:basedOn w:val="1"/>
    <w:next w:val="6"/>
    <w:qFormat/>
    <w:uiPriority w:val="0"/>
    <w:pPr>
      <w:jc w:val="center"/>
    </w:pPr>
    <w:rPr>
      <w:rFonts w:ascii="宋体" w:hAnsi="宋体" w:cs="Arial"/>
      <w:b/>
      <w:color w:val="000000"/>
      <w:sz w:val="21"/>
      <w:szCs w:val="21"/>
    </w:rPr>
  </w:style>
  <w:style w:type="paragraph" w:customStyle="1" w:styleId="400">
    <w:name w:val="flNote"/>
    <w:basedOn w:val="1"/>
    <w:qFormat/>
    <w:uiPriority w:val="0"/>
    <w:pPr>
      <w:spacing w:before="320" w:after="160" w:line="360" w:lineRule="atLeast"/>
      <w:jc w:val="center"/>
    </w:pPr>
    <w:rPr>
      <w:rFonts w:ascii="Arial" w:eastAsia="黑体"/>
      <w:sz w:val="30"/>
      <w:szCs w:val="20"/>
    </w:rPr>
  </w:style>
  <w:style w:type="paragraph" w:customStyle="1" w:styleId="401">
    <w:name w:val="2-2ji"/>
    <w:basedOn w:val="3"/>
    <w:qFormat/>
    <w:uiPriority w:val="0"/>
    <w:pPr>
      <w:spacing w:before="0" w:after="0" w:line="360" w:lineRule="auto"/>
      <w:jc w:val="center"/>
    </w:pPr>
    <w:rPr>
      <w:rFonts w:ascii="宋体" w:hAnsi="宋体" w:eastAsia="宋体" w:cs="Times New Roman"/>
      <w:b/>
      <w:bCs/>
      <w:sz w:val="36"/>
    </w:rPr>
  </w:style>
  <w:style w:type="paragraph" w:customStyle="1" w:styleId="402">
    <w:name w:val="无间隔2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03">
    <w:name w:val="列出段落21"/>
    <w:basedOn w:val="1"/>
    <w:qFormat/>
    <w:uiPriority w:val="0"/>
    <w:pPr>
      <w:ind w:firstLine="420"/>
    </w:pPr>
    <w:rPr>
      <w:rFonts w:ascii="Calibri" w:hAnsi="Calibri"/>
      <w:sz w:val="21"/>
    </w:rPr>
  </w:style>
  <w:style w:type="paragraph" w:customStyle="1" w:styleId="404">
    <w:name w:val="red"/>
    <w:basedOn w:val="1"/>
    <w:qFormat/>
    <w:uiPriority w:val="0"/>
    <w:pPr>
      <w:widowControl/>
      <w:spacing w:before="100" w:beforeAutospacing="1" w:after="100" w:afterAutospacing="1"/>
      <w:jc w:val="left"/>
    </w:pPr>
    <w:rPr>
      <w:rFonts w:ascii="宋体" w:hAnsi="宋体" w:cs="宋体"/>
      <w:sz w:val="21"/>
      <w:szCs w:val="21"/>
    </w:rPr>
  </w:style>
  <w:style w:type="paragraph" w:customStyle="1" w:styleId="405">
    <w:name w:val="1"/>
    <w:basedOn w:val="1"/>
    <w:next w:val="1"/>
    <w:qFormat/>
    <w:uiPriority w:val="0"/>
    <w:rPr>
      <w:sz w:val="21"/>
    </w:rPr>
  </w:style>
  <w:style w:type="paragraph" w:customStyle="1" w:styleId="406">
    <w:name w:val="TOC 标题_0"/>
    <w:basedOn w:val="385"/>
    <w:next w:val="269"/>
    <w:qFormat/>
    <w:uiPriority w:val="0"/>
    <w:pPr>
      <w:outlineLvl w:val="9"/>
    </w:pPr>
    <w:rPr>
      <w:rFonts w:ascii="Calibri" w:hAnsi="Calibri"/>
    </w:rPr>
  </w:style>
  <w:style w:type="paragraph" w:customStyle="1" w:styleId="407">
    <w:name w:val="z-窗体顶端11"/>
    <w:basedOn w:val="1"/>
    <w:next w:val="1"/>
    <w:unhideWhenUsed/>
    <w:qFormat/>
    <w:uiPriority w:val="0"/>
    <w:pPr>
      <w:pBdr>
        <w:bottom w:val="single" w:color="auto" w:sz="6" w:space="1"/>
      </w:pBdr>
      <w:jc w:val="center"/>
    </w:pPr>
    <w:rPr>
      <w:rFonts w:ascii="Arial" w:hAnsi="Arial" w:cs="Arial"/>
      <w:vanish/>
      <w:sz w:val="16"/>
      <w:szCs w:val="16"/>
    </w:rPr>
  </w:style>
  <w:style w:type="paragraph" w:customStyle="1" w:styleId="408">
    <w:name w:val="z-窗体顶端3"/>
    <w:basedOn w:val="1"/>
    <w:next w:val="1"/>
    <w:unhideWhenUsed/>
    <w:qFormat/>
    <w:uiPriority w:val="0"/>
    <w:pPr>
      <w:pBdr>
        <w:bottom w:val="single" w:color="auto" w:sz="6" w:space="1"/>
      </w:pBdr>
      <w:jc w:val="center"/>
    </w:pPr>
    <w:rPr>
      <w:rFonts w:ascii="Arial" w:hAnsi="Arial" w:cs="Arial"/>
      <w:vanish/>
      <w:sz w:val="16"/>
      <w:szCs w:val="16"/>
    </w:rPr>
  </w:style>
  <w:style w:type="paragraph" w:customStyle="1" w:styleId="409">
    <w:name w:val="样式 标题 3 + (中文) 黑体 小四 非加粗 段前: 7.8 磅 段后: 0 磅 行距: 固定值 20 磅"/>
    <w:basedOn w:val="4"/>
    <w:qFormat/>
    <w:uiPriority w:val="0"/>
    <w:pPr>
      <w:spacing w:before="0" w:after="0" w:line="400" w:lineRule="exact"/>
    </w:pPr>
    <w:rPr>
      <w:rFonts w:ascii="Times New Roman" w:hAnsi="Times New Roman" w:eastAsia="黑体" w:cs="宋体"/>
      <w:sz w:val="21"/>
      <w:szCs w:val="20"/>
    </w:rPr>
  </w:style>
  <w:style w:type="paragraph" w:customStyle="1" w:styleId="410">
    <w:name w:val="z-窗体底端3"/>
    <w:basedOn w:val="1"/>
    <w:next w:val="1"/>
    <w:unhideWhenUsed/>
    <w:qFormat/>
    <w:uiPriority w:val="0"/>
    <w:pPr>
      <w:pBdr>
        <w:top w:val="single" w:color="auto" w:sz="6" w:space="1"/>
      </w:pBdr>
      <w:jc w:val="center"/>
    </w:pPr>
    <w:rPr>
      <w:rFonts w:ascii="Arial" w:hAnsi="Arial" w:cs="Arial"/>
      <w:vanish/>
      <w:sz w:val="16"/>
      <w:szCs w:val="16"/>
    </w:rPr>
  </w:style>
  <w:style w:type="paragraph" w:customStyle="1" w:styleId="411">
    <w:name w:val="_Style 4"/>
    <w:basedOn w:val="1"/>
    <w:qFormat/>
    <w:uiPriority w:val="0"/>
    <w:pPr>
      <w:ind w:firstLine="420"/>
    </w:pPr>
    <w:rPr>
      <w:rFonts w:ascii="Calibri" w:hAnsi="Calibri"/>
      <w:sz w:val="21"/>
    </w:rPr>
  </w:style>
  <w:style w:type="paragraph" w:customStyle="1" w:styleId="412">
    <w:name w:val="reader-word-layer"/>
    <w:basedOn w:val="1"/>
    <w:qFormat/>
    <w:uiPriority w:val="0"/>
    <w:pPr>
      <w:widowControl/>
      <w:spacing w:before="100" w:beforeAutospacing="1" w:after="100" w:afterAutospacing="1"/>
      <w:jc w:val="left"/>
    </w:pPr>
    <w:rPr>
      <w:rFonts w:ascii="宋体" w:hAnsi="宋体" w:cs="宋体"/>
    </w:rPr>
  </w:style>
  <w:style w:type="paragraph" w:customStyle="1" w:styleId="413">
    <w:name w:val="样式1"/>
    <w:basedOn w:val="1"/>
    <w:next w:val="5"/>
    <w:qFormat/>
    <w:uiPriority w:val="0"/>
    <w:pPr>
      <w:spacing w:line="360" w:lineRule="auto"/>
      <w:ind w:firstLine="420"/>
    </w:pPr>
    <w:rPr>
      <w:rFonts w:ascii="宋体" w:hAnsi="宋体"/>
      <w:sz w:val="21"/>
      <w:szCs w:val="21"/>
    </w:rPr>
  </w:style>
  <w:style w:type="paragraph" w:customStyle="1" w:styleId="414">
    <w:name w:val="Char Char Char Char"/>
    <w:basedOn w:val="1"/>
    <w:qFormat/>
    <w:uiPriority w:val="0"/>
    <w:pPr>
      <w:widowControl/>
      <w:spacing w:line="500" w:lineRule="exact"/>
      <w:outlineLvl w:val="2"/>
    </w:pPr>
    <w:rPr>
      <w:rFonts w:ascii="黑体" w:hAnsi="Verdana" w:eastAsia="黑体" w:cs="黑体"/>
      <w:sz w:val="28"/>
      <w:szCs w:val="28"/>
      <w:lang w:eastAsia="en-US"/>
    </w:rPr>
  </w:style>
  <w:style w:type="paragraph" w:customStyle="1" w:styleId="415">
    <w:name w:val="样式 标题 2 + Times New Roman 四号 非加粗 段前: 5 磅 段后: 0 磅 行距: 固定值 20..."/>
    <w:basedOn w:val="3"/>
    <w:qFormat/>
    <w:uiPriority w:val="0"/>
    <w:pPr>
      <w:spacing w:before="100" w:after="0" w:line="400" w:lineRule="exact"/>
    </w:pPr>
    <w:rPr>
      <w:rFonts w:ascii="Times New Roman" w:hAnsi="Times New Roman" w:eastAsia="黑体" w:cs="宋体"/>
      <w:sz w:val="28"/>
      <w:szCs w:val="20"/>
    </w:rPr>
  </w:style>
  <w:style w:type="paragraph" w:customStyle="1" w:styleId="416">
    <w:name w:val="z-窗体顶端21"/>
    <w:basedOn w:val="1"/>
    <w:next w:val="1"/>
    <w:unhideWhenUsed/>
    <w:qFormat/>
    <w:uiPriority w:val="0"/>
    <w:pPr>
      <w:pBdr>
        <w:bottom w:val="single" w:color="auto" w:sz="6" w:space="1"/>
      </w:pBdr>
      <w:jc w:val="center"/>
    </w:pPr>
    <w:rPr>
      <w:rFonts w:ascii="Arial" w:hAnsi="Arial" w:cs="Arial"/>
      <w:vanish/>
      <w:sz w:val="16"/>
      <w:szCs w:val="16"/>
    </w:rPr>
  </w:style>
  <w:style w:type="paragraph" w:customStyle="1" w:styleId="417">
    <w:name w:val="公文正文"/>
    <w:qFormat/>
    <w:uiPriority w:val="0"/>
    <w:pPr>
      <w:widowControl w:val="0"/>
      <w:spacing w:line="360" w:lineRule="auto"/>
      <w:ind w:firstLine="629"/>
      <w:jc w:val="both"/>
    </w:pPr>
    <w:rPr>
      <w:rFonts w:hint="default" w:ascii="仿宋_GB2312" w:hAnsi="Calisto MT" w:eastAsia="仿宋_GB2312" w:cs="Times New Roman"/>
      <w:color w:val="000000"/>
      <w:sz w:val="32"/>
      <w:lang w:val="en-US" w:eastAsia="zh-CN" w:bidi="ar-SA"/>
    </w:rPr>
  </w:style>
  <w:style w:type="paragraph" w:customStyle="1" w:styleId="418">
    <w:name w:val="正文文本_0"/>
    <w:basedOn w:val="269"/>
    <w:qFormat/>
    <w:uiPriority w:val="0"/>
    <w:pPr>
      <w:spacing w:after="60" w:line="360" w:lineRule="atLeast"/>
      <w:ind w:left="72" w:right="30"/>
      <w:jc w:val="center"/>
    </w:pPr>
    <w:rPr>
      <w:sz w:val="20"/>
      <w:szCs w:val="20"/>
    </w:rPr>
  </w:style>
  <w:style w:type="paragraph" w:customStyle="1" w:styleId="419">
    <w:name w:val="样式 样式 宋体 + 首行缩进:  1 字符"/>
    <w:basedOn w:val="392"/>
    <w:qFormat/>
    <w:uiPriority w:val="0"/>
    <w:pPr>
      <w:spacing w:line="240" w:lineRule="auto"/>
    </w:pPr>
  </w:style>
  <w:style w:type="paragraph" w:customStyle="1" w:styleId="420">
    <w:name w:val="无间隔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21">
    <w:name w:val="无间隔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22">
    <w:name w:val="Char Char Char Char Char Char Char"/>
    <w:basedOn w:val="1"/>
    <w:qFormat/>
    <w:uiPriority w:val="0"/>
    <w:pPr>
      <w:widowControl/>
      <w:spacing w:after="160" w:line="240" w:lineRule="exact"/>
      <w:jc w:val="left"/>
    </w:pPr>
    <w:rPr>
      <w:sz w:val="21"/>
    </w:rPr>
  </w:style>
  <w:style w:type="paragraph" w:customStyle="1" w:styleId="423">
    <w:name w:val="Char"/>
    <w:basedOn w:val="1"/>
    <w:qFormat/>
    <w:uiPriority w:val="0"/>
    <w:pPr>
      <w:widowControl/>
      <w:spacing w:after="160" w:line="240" w:lineRule="exact"/>
      <w:jc w:val="left"/>
    </w:pPr>
    <w:rPr>
      <w:sz w:val="21"/>
    </w:rPr>
  </w:style>
  <w:style w:type="paragraph" w:customStyle="1" w:styleId="424">
    <w:name w:val="正文 + 黑体"/>
    <w:basedOn w:val="1"/>
    <w:qFormat/>
    <w:uiPriority w:val="0"/>
    <w:pPr>
      <w:jc w:val="left"/>
    </w:pPr>
    <w:rPr>
      <w:rFonts w:ascii="黑体" w:hAnsi="宋体" w:eastAsia="黑体" w:cs="TimesNewRomanPSMT"/>
    </w:rPr>
  </w:style>
  <w:style w:type="paragraph" w:customStyle="1" w:styleId="425">
    <w:name w:val="z-窗体底端21"/>
    <w:basedOn w:val="1"/>
    <w:next w:val="1"/>
    <w:unhideWhenUsed/>
    <w:qFormat/>
    <w:uiPriority w:val="0"/>
    <w:pPr>
      <w:pBdr>
        <w:top w:val="single" w:color="auto" w:sz="6" w:space="1"/>
      </w:pBdr>
      <w:jc w:val="center"/>
    </w:pPr>
    <w:rPr>
      <w:rFonts w:ascii="Arial" w:hAnsi="Arial" w:cs="Arial"/>
      <w:vanish/>
      <w:sz w:val="16"/>
      <w:szCs w:val="16"/>
    </w:rPr>
  </w:style>
  <w:style w:type="paragraph" w:customStyle="1" w:styleId="426">
    <w:name w:val="列出段落3"/>
    <w:basedOn w:val="1"/>
    <w:qFormat/>
    <w:uiPriority w:val="0"/>
    <w:pPr>
      <w:ind w:firstLine="420"/>
    </w:pPr>
    <w:rPr>
      <w:rFonts w:ascii="Calibri" w:hAnsi="Calibri"/>
      <w:sz w:val="21"/>
    </w:rPr>
  </w:style>
  <w:style w:type="paragraph" w:customStyle="1" w:styleId="427">
    <w:name w:val="标题 4_0"/>
    <w:basedOn w:val="269"/>
    <w:next w:val="269"/>
    <w:link w:val="428"/>
    <w:qFormat/>
    <w:uiPriority w:val="0"/>
    <w:pPr>
      <w:keepNext/>
      <w:keepLines/>
      <w:spacing w:before="280" w:after="290" w:line="372" w:lineRule="auto"/>
      <w:outlineLvl w:val="3"/>
    </w:pPr>
    <w:rPr>
      <w:rFonts w:ascii="Cambria" w:hAnsi="Cambria"/>
      <w:b/>
      <w:bCs/>
      <w:sz w:val="28"/>
      <w:szCs w:val="28"/>
    </w:rPr>
  </w:style>
  <w:style w:type="character" w:customStyle="1" w:styleId="428">
    <w:name w:val="标题 4 Char_0"/>
    <w:link w:val="427"/>
    <w:qFormat/>
    <w:uiPriority w:val="0"/>
    <w:rPr>
      <w:rFonts w:ascii="Cambria" w:hAnsi="Cambria"/>
      <w:b/>
      <w:bCs/>
      <w:sz w:val="28"/>
      <w:szCs w:val="28"/>
    </w:rPr>
  </w:style>
  <w:style w:type="character" w:customStyle="1" w:styleId="429">
    <w:name w:val="Char Char8"/>
    <w:qFormat/>
    <w:uiPriority w:val="0"/>
    <w:rPr>
      <w:rFonts w:ascii="Arial" w:hAnsi="Arial" w:eastAsia="黑体"/>
      <w:b/>
      <w:bCs/>
      <w:sz w:val="32"/>
      <w:szCs w:val="32"/>
      <w:lang w:val="en-US" w:eastAsia="zh-CN" w:bidi="ar-SA"/>
    </w:rPr>
  </w:style>
  <w:style w:type="character" w:customStyle="1" w:styleId="430">
    <w:name w:val="Char Char711"/>
    <w:qFormat/>
    <w:uiPriority w:val="0"/>
    <w:rPr>
      <w:rFonts w:ascii="Arial" w:hAnsi="Arial" w:eastAsia="黑体"/>
      <w:b/>
      <w:bCs/>
      <w:sz w:val="32"/>
      <w:szCs w:val="32"/>
      <w:lang w:val="en-US" w:eastAsia="zh-CN" w:bidi="ar-SA"/>
    </w:rPr>
  </w:style>
  <w:style w:type="character" w:customStyle="1" w:styleId="431">
    <w:name w:val="font161"/>
    <w:qFormat/>
    <w:uiPriority w:val="0"/>
    <w:rPr>
      <w:b/>
      <w:bCs/>
      <w:sz w:val="32"/>
      <w:szCs w:val="32"/>
    </w:rPr>
  </w:style>
  <w:style w:type="character" w:customStyle="1" w:styleId="432">
    <w:name w:val="Char Char251"/>
    <w:qFormat/>
    <w:uiPriority w:val="0"/>
    <w:rPr>
      <w:rFonts w:eastAsia="宋体"/>
      <w:sz w:val="21"/>
      <w:szCs w:val="24"/>
      <w:lang w:val="en-US" w:eastAsia="zh-CN" w:bidi="ar-SA"/>
    </w:rPr>
  </w:style>
  <w:style w:type="character" w:customStyle="1" w:styleId="433">
    <w:name w:val="Char Char7"/>
    <w:qFormat/>
    <w:uiPriority w:val="0"/>
    <w:rPr>
      <w:rFonts w:ascii="Arial" w:hAnsi="Arial" w:eastAsia="黑体"/>
      <w:b/>
      <w:bCs/>
      <w:sz w:val="32"/>
      <w:szCs w:val="32"/>
      <w:lang w:val="en-US" w:eastAsia="zh-CN" w:bidi="ar-SA"/>
    </w:rPr>
  </w:style>
  <w:style w:type="paragraph" w:customStyle="1" w:styleId="434">
    <w:name w:val="样式4"/>
    <w:basedOn w:val="4"/>
    <w:qFormat/>
    <w:uiPriority w:val="0"/>
    <w:pPr>
      <w:spacing w:before="260" w:after="260" w:line="413" w:lineRule="auto"/>
    </w:pPr>
    <w:rPr>
      <w:rFonts w:ascii="Times New Roman" w:hAnsi="Times New Roman" w:cs="Times New Roman"/>
      <w:b/>
      <w:sz w:val="32"/>
      <w:szCs w:val="20"/>
    </w:rPr>
  </w:style>
  <w:style w:type="paragraph" w:customStyle="1" w:styleId="435">
    <w:name w:val="6'"/>
    <w:basedOn w:val="1"/>
    <w:qFormat/>
    <w:uiPriority w:val="0"/>
    <w:pPr>
      <w:spacing w:line="320" w:lineRule="exact"/>
      <w:jc w:val="center"/>
    </w:pPr>
    <w:rPr>
      <w:rFonts w:ascii="Calibri" w:hAnsi="Calibri"/>
      <w:spacing w:val="20"/>
      <w:sz w:val="21"/>
      <w:szCs w:val="20"/>
    </w:rPr>
  </w:style>
  <w:style w:type="paragraph" w:customStyle="1" w:styleId="436">
    <w:name w:val="样式 标题 1 + 黑体 三号 非加粗 居中 段前: 6 磅 段后: 6 磅 行距: 固定值 20 磅"/>
    <w:basedOn w:val="2"/>
    <w:qFormat/>
    <w:uiPriority w:val="0"/>
    <w:pPr>
      <w:spacing w:before="120" w:after="120" w:line="400" w:lineRule="exact"/>
      <w:jc w:val="center"/>
    </w:pPr>
    <w:rPr>
      <w:rFonts w:ascii="黑体" w:hAnsi="黑体" w:eastAsia="黑体" w:cs="宋体"/>
      <w:bCs/>
      <w:sz w:val="32"/>
      <w:szCs w:val="20"/>
    </w:rPr>
  </w:style>
  <w:style w:type="paragraph" w:customStyle="1" w:styleId="437">
    <w:name w:val="表格"/>
    <w:basedOn w:val="1"/>
    <w:qFormat/>
    <w:uiPriority w:val="0"/>
    <w:pPr>
      <w:jc w:val="center"/>
    </w:pPr>
    <w:rPr>
      <w:rFonts w:ascii="华文细黑" w:hAnsi="华文细黑"/>
      <w:sz w:val="21"/>
      <w:szCs w:val="20"/>
    </w:rPr>
  </w:style>
  <w:style w:type="paragraph" w:customStyle="1" w:styleId="438">
    <w:name w:val="样式3"/>
    <w:basedOn w:val="4"/>
    <w:qFormat/>
    <w:uiPriority w:val="0"/>
    <w:pPr>
      <w:spacing w:before="260" w:after="260" w:line="413" w:lineRule="auto"/>
    </w:pPr>
    <w:rPr>
      <w:rFonts w:ascii="Times New Roman" w:hAnsi="Times New Roman" w:cs="Times New Roman"/>
      <w:b/>
      <w:sz w:val="32"/>
      <w:szCs w:val="20"/>
    </w:rPr>
  </w:style>
  <w:style w:type="paragraph" w:customStyle="1" w:styleId="439">
    <w:name w:val="Char21"/>
    <w:basedOn w:val="1"/>
    <w:qFormat/>
    <w:uiPriority w:val="0"/>
    <w:pPr>
      <w:tabs>
        <w:tab w:val="left" w:pos="360"/>
      </w:tabs>
    </w:pPr>
    <w:rPr>
      <w:rFonts w:ascii="Calibri" w:hAnsi="Calibri"/>
    </w:rPr>
  </w:style>
  <w:style w:type="paragraph" w:customStyle="1" w:styleId="440">
    <w:name w:val="表格文字"/>
    <w:basedOn w:val="1"/>
    <w:qFormat/>
    <w:uiPriority w:val="0"/>
    <w:pPr>
      <w:spacing w:line="420" w:lineRule="atLeast"/>
      <w:jc w:val="left"/>
    </w:pPr>
    <w:rPr>
      <w:rFonts w:ascii="Calibri" w:hAnsi="Calibri"/>
      <w:sz w:val="21"/>
      <w:szCs w:val="20"/>
    </w:rPr>
  </w:style>
  <w:style w:type="character" w:customStyle="1" w:styleId="441">
    <w:name w:val="content1"/>
    <w:qFormat/>
    <w:uiPriority w:val="0"/>
    <w:rPr>
      <w:sz w:val="21"/>
      <w:szCs w:val="21"/>
      <w:u w:val="single"/>
    </w:rPr>
  </w:style>
  <w:style w:type="paragraph" w:customStyle="1" w:styleId="442">
    <w:name w:val="样式11"/>
    <w:basedOn w:val="1"/>
    <w:link w:val="443"/>
    <w:qFormat/>
    <w:uiPriority w:val="0"/>
    <w:pPr>
      <w:spacing w:line="360" w:lineRule="exact"/>
      <w:ind w:hanging="420"/>
      <w:outlineLvl w:val="2"/>
    </w:pPr>
    <w:rPr>
      <w:rFonts w:ascii="黑体" w:hAnsi="宋体" w:eastAsia="黑体"/>
      <w:sz w:val="21"/>
      <w:szCs w:val="21"/>
    </w:rPr>
  </w:style>
  <w:style w:type="character" w:customStyle="1" w:styleId="443">
    <w:name w:val="样式11 Char"/>
    <w:link w:val="442"/>
    <w:qFormat/>
    <w:uiPriority w:val="0"/>
    <w:rPr>
      <w:rFonts w:ascii="黑体" w:hAnsi="宋体" w:eastAsia="黑体"/>
      <w:sz w:val="21"/>
      <w:szCs w:val="21"/>
    </w:rPr>
  </w:style>
  <w:style w:type="paragraph" w:customStyle="1" w:styleId="444">
    <w:name w:val="标题6"/>
    <w:basedOn w:val="1"/>
    <w:link w:val="445"/>
    <w:qFormat/>
    <w:uiPriority w:val="0"/>
    <w:pPr>
      <w:keepNext/>
      <w:keepLines/>
      <w:spacing w:line="400" w:lineRule="exact"/>
      <w:jc w:val="center"/>
      <w:outlineLvl w:val="2"/>
    </w:pPr>
    <w:rPr>
      <w:rFonts w:ascii="宋体" w:hAnsi="宋体" w:eastAsia="黑体"/>
      <w:sz w:val="32"/>
      <w:szCs w:val="32"/>
    </w:rPr>
  </w:style>
  <w:style w:type="character" w:customStyle="1" w:styleId="445">
    <w:name w:val="标题6 Char"/>
    <w:link w:val="444"/>
    <w:qFormat/>
    <w:uiPriority w:val="0"/>
    <w:rPr>
      <w:rFonts w:ascii="宋体" w:hAnsi="宋体" w:eastAsia="黑体"/>
      <w:sz w:val="32"/>
      <w:szCs w:val="32"/>
    </w:rPr>
  </w:style>
  <w:style w:type="paragraph" w:customStyle="1" w:styleId="446">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47">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48">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49">
    <w:name w:val="副标题_0"/>
    <w:basedOn w:val="450"/>
    <w:next w:val="450"/>
    <w:link w:val="451"/>
    <w:qFormat/>
    <w:uiPriority w:val="0"/>
    <w:pPr>
      <w:spacing w:before="240" w:after="60" w:line="312" w:lineRule="auto"/>
      <w:jc w:val="center"/>
      <w:outlineLvl w:val="1"/>
    </w:pPr>
    <w:rPr>
      <w:rFonts w:ascii="Cambria" w:hAnsi="Cambria"/>
      <w:b/>
      <w:bCs/>
      <w:sz w:val="32"/>
      <w:szCs w:val="32"/>
    </w:rPr>
  </w:style>
  <w:style w:type="paragraph" w:customStyle="1" w:styleId="450">
    <w:name w:val="正文_4"/>
    <w:qFormat/>
    <w:uiPriority w:val="0"/>
    <w:pPr>
      <w:widowControl w:val="0"/>
      <w:jc w:val="both"/>
    </w:pPr>
    <w:rPr>
      <w:rFonts w:hint="default" w:ascii="Calibri" w:hAnsi="Calibri" w:eastAsia="宋体" w:cs="Times New Roman"/>
      <w:sz w:val="21"/>
      <w:szCs w:val="22"/>
      <w:lang w:val="en-US" w:eastAsia="zh-CN" w:bidi="ar-SA"/>
    </w:rPr>
  </w:style>
  <w:style w:type="character" w:customStyle="1" w:styleId="451">
    <w:name w:val="副标题 Char_0"/>
    <w:link w:val="449"/>
    <w:qFormat/>
    <w:uiPriority w:val="0"/>
    <w:rPr>
      <w:rFonts w:ascii="Cambria" w:hAnsi="Cambria"/>
      <w:b/>
      <w:bCs/>
      <w:sz w:val="32"/>
      <w:szCs w:val="32"/>
    </w:rPr>
  </w:style>
  <w:style w:type="paragraph" w:customStyle="1" w:styleId="452">
    <w:name w:val="标题 2_0"/>
    <w:basedOn w:val="450"/>
    <w:next w:val="450"/>
    <w:link w:val="453"/>
    <w:qFormat/>
    <w:uiPriority w:val="0"/>
    <w:pPr>
      <w:keepNext/>
      <w:keepLines/>
      <w:spacing w:before="260" w:after="260" w:line="416" w:lineRule="auto"/>
      <w:outlineLvl w:val="1"/>
    </w:pPr>
    <w:rPr>
      <w:rFonts w:ascii="Arial" w:hAnsi="Arial" w:eastAsia="黑体"/>
      <w:b/>
      <w:bCs/>
      <w:sz w:val="32"/>
      <w:szCs w:val="32"/>
    </w:rPr>
  </w:style>
  <w:style w:type="character" w:customStyle="1" w:styleId="453">
    <w:name w:val="标题 2 Char_0"/>
    <w:link w:val="452"/>
    <w:qFormat/>
    <w:uiPriority w:val="0"/>
    <w:rPr>
      <w:rFonts w:ascii="Arial" w:hAnsi="Arial" w:eastAsia="黑体"/>
      <w:b/>
      <w:bCs/>
      <w:sz w:val="32"/>
      <w:szCs w:val="32"/>
    </w:rPr>
  </w:style>
  <w:style w:type="paragraph" w:customStyle="1" w:styleId="454">
    <w:name w:val="样式11_0"/>
    <w:basedOn w:val="450"/>
    <w:link w:val="455"/>
    <w:qFormat/>
    <w:uiPriority w:val="0"/>
    <w:pPr>
      <w:spacing w:line="360" w:lineRule="exact"/>
      <w:ind w:hanging="420"/>
      <w:outlineLvl w:val="2"/>
    </w:pPr>
    <w:rPr>
      <w:rFonts w:ascii="黑体" w:hAnsi="宋体" w:eastAsia="黑体"/>
      <w:sz w:val="20"/>
      <w:szCs w:val="21"/>
    </w:rPr>
  </w:style>
  <w:style w:type="character" w:customStyle="1" w:styleId="455">
    <w:name w:val="样式11 Char_0"/>
    <w:link w:val="454"/>
    <w:qFormat/>
    <w:uiPriority w:val="0"/>
    <w:rPr>
      <w:rFonts w:ascii="黑体" w:hAnsi="宋体" w:eastAsia="黑体"/>
      <w:szCs w:val="21"/>
    </w:rPr>
  </w:style>
  <w:style w:type="character" w:customStyle="1" w:styleId="456">
    <w:name w:val="强调_0"/>
    <w:qFormat/>
    <w:uiPriority w:val="0"/>
    <w:rPr>
      <w:rFonts w:ascii="Calibri" w:hAnsi="Calibri"/>
      <w:i/>
      <w:iCs/>
    </w:rPr>
  </w:style>
  <w:style w:type="paragraph" w:customStyle="1" w:styleId="457">
    <w:name w:val="2B70926E84294DE4875F69CC8C4B9580"/>
    <w:qFormat/>
    <w:uiPriority w:val="0"/>
    <w:pPr>
      <w:spacing w:after="200" w:line="276" w:lineRule="auto"/>
    </w:pPr>
    <w:rPr>
      <w:rFonts w:hint="default" w:ascii="Calibri" w:hAnsi="Calibri" w:eastAsia="宋体" w:cs="Times New Roman"/>
      <w:sz w:val="22"/>
      <w:szCs w:val="22"/>
      <w:lang w:val="en-US" w:eastAsia="en-US" w:bidi="ar-SA"/>
    </w:rPr>
  </w:style>
  <w:style w:type="paragraph" w:customStyle="1" w:styleId="458">
    <w:name w:val="标题 3_0_0"/>
    <w:basedOn w:val="271"/>
    <w:next w:val="271"/>
    <w:link w:val="459"/>
    <w:qFormat/>
    <w:uiPriority w:val="0"/>
    <w:pPr>
      <w:keepNext/>
      <w:keepLines/>
      <w:spacing w:before="260" w:after="260" w:line="413" w:lineRule="auto"/>
      <w:outlineLvl w:val="2"/>
    </w:pPr>
    <w:rPr>
      <w:b/>
      <w:sz w:val="32"/>
    </w:rPr>
  </w:style>
  <w:style w:type="character" w:customStyle="1" w:styleId="459">
    <w:name w:val="标题 3 Char_0_0"/>
    <w:link w:val="458"/>
    <w:qFormat/>
    <w:uiPriority w:val="0"/>
    <w:rPr>
      <w:b/>
      <w:sz w:val="32"/>
    </w:rPr>
  </w:style>
  <w:style w:type="character" w:customStyle="1" w:styleId="460">
    <w:name w:val="标题 4 Char_0_0"/>
    <w:link w:val="270"/>
    <w:qFormat/>
    <w:uiPriority w:val="0"/>
    <w:rPr>
      <w:rFonts w:ascii="Arial" w:hAnsi="Arial" w:eastAsia="黑体"/>
      <w:b/>
      <w:sz w:val="28"/>
    </w:rPr>
  </w:style>
  <w:style w:type="paragraph" w:customStyle="1" w:styleId="461">
    <w:name w:val="正文_5"/>
    <w:qFormat/>
    <w:uiPriority w:val="0"/>
    <w:pPr>
      <w:widowControl w:val="0"/>
      <w:jc w:val="both"/>
    </w:pPr>
    <w:rPr>
      <w:rFonts w:hint="default" w:ascii="Calibri" w:hAnsi="Calibri" w:eastAsia="宋体" w:cs="Times New Roman"/>
      <w:lang w:val="en-US" w:eastAsia="zh-CN" w:bidi="ar-SA"/>
    </w:rPr>
  </w:style>
  <w:style w:type="paragraph" w:customStyle="1" w:styleId="462">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63">
    <w:name w:val="副标题_0_0"/>
    <w:basedOn w:val="464"/>
    <w:next w:val="464"/>
    <w:link w:val="465"/>
    <w:qFormat/>
    <w:uiPriority w:val="0"/>
    <w:pPr>
      <w:spacing w:before="240" w:after="60" w:line="312" w:lineRule="auto"/>
      <w:jc w:val="center"/>
      <w:outlineLvl w:val="1"/>
    </w:pPr>
    <w:rPr>
      <w:rFonts w:ascii="Cambria" w:hAnsi="Cambria"/>
      <w:b/>
      <w:bCs/>
      <w:sz w:val="32"/>
      <w:szCs w:val="32"/>
    </w:rPr>
  </w:style>
  <w:style w:type="paragraph" w:customStyle="1" w:styleId="464">
    <w:name w:val="正文_4_0"/>
    <w:qFormat/>
    <w:uiPriority w:val="0"/>
    <w:pPr>
      <w:widowControl w:val="0"/>
      <w:jc w:val="both"/>
    </w:pPr>
    <w:rPr>
      <w:rFonts w:hint="default" w:ascii="Calibri" w:hAnsi="Calibri" w:eastAsia="宋体" w:cs="Times New Roman"/>
      <w:lang w:val="en-US" w:eastAsia="zh-CN" w:bidi="ar-SA"/>
    </w:rPr>
  </w:style>
  <w:style w:type="character" w:customStyle="1" w:styleId="465">
    <w:name w:val="副标题 Char_0_0"/>
    <w:link w:val="463"/>
    <w:qFormat/>
    <w:uiPriority w:val="0"/>
    <w:rPr>
      <w:rFonts w:ascii="Cambria" w:hAnsi="Cambria"/>
      <w:b/>
      <w:bCs/>
      <w:sz w:val="32"/>
      <w:szCs w:val="32"/>
    </w:rPr>
  </w:style>
  <w:style w:type="paragraph" w:customStyle="1" w:styleId="466">
    <w:name w:val="标题 2_0_0"/>
    <w:basedOn w:val="464"/>
    <w:next w:val="464"/>
    <w:link w:val="467"/>
    <w:qFormat/>
    <w:uiPriority w:val="0"/>
    <w:pPr>
      <w:keepNext/>
      <w:keepLines/>
      <w:spacing w:before="260" w:after="260" w:line="416" w:lineRule="auto"/>
      <w:outlineLvl w:val="1"/>
    </w:pPr>
    <w:rPr>
      <w:rFonts w:ascii="Arial" w:hAnsi="Arial" w:eastAsia="黑体"/>
      <w:b/>
      <w:bCs/>
      <w:sz w:val="32"/>
      <w:szCs w:val="32"/>
    </w:rPr>
  </w:style>
  <w:style w:type="character" w:customStyle="1" w:styleId="467">
    <w:name w:val="标题 2 Char_0_0"/>
    <w:link w:val="466"/>
    <w:qFormat/>
    <w:uiPriority w:val="0"/>
    <w:rPr>
      <w:rFonts w:ascii="Arial" w:hAnsi="Arial" w:eastAsia="黑体"/>
      <w:b/>
      <w:bCs/>
      <w:sz w:val="32"/>
      <w:szCs w:val="32"/>
    </w:rPr>
  </w:style>
  <w:style w:type="paragraph" w:customStyle="1" w:styleId="468">
    <w:name w:val="样式11_0_0"/>
    <w:basedOn w:val="464"/>
    <w:link w:val="469"/>
    <w:qFormat/>
    <w:uiPriority w:val="0"/>
    <w:pPr>
      <w:spacing w:line="360" w:lineRule="exact"/>
      <w:ind w:hanging="420"/>
      <w:outlineLvl w:val="2"/>
    </w:pPr>
    <w:rPr>
      <w:rFonts w:ascii="黑体" w:hAnsi="宋体" w:eastAsia="黑体"/>
      <w:szCs w:val="21"/>
    </w:rPr>
  </w:style>
  <w:style w:type="character" w:customStyle="1" w:styleId="469">
    <w:name w:val="样式11 Char_0_0"/>
    <w:link w:val="468"/>
    <w:qFormat/>
    <w:uiPriority w:val="0"/>
    <w:rPr>
      <w:rFonts w:ascii="黑体" w:hAnsi="宋体" w:eastAsia="黑体"/>
      <w:szCs w:val="21"/>
    </w:rPr>
  </w:style>
  <w:style w:type="paragraph" w:customStyle="1" w:styleId="470">
    <w:name w:val="批注文字_0"/>
    <w:basedOn w:val="471"/>
    <w:link w:val="472"/>
    <w:qFormat/>
    <w:uiPriority w:val="0"/>
    <w:pPr>
      <w:jc w:val="left"/>
    </w:pPr>
    <w:rPr>
      <w:rFonts w:ascii="Times New Roman" w:hAnsi="Times New Roman"/>
      <w:szCs w:val="24"/>
    </w:rPr>
  </w:style>
  <w:style w:type="paragraph" w:customStyle="1" w:styleId="471">
    <w:name w:val="正文_7"/>
    <w:qFormat/>
    <w:uiPriority w:val="0"/>
    <w:pPr>
      <w:widowControl w:val="0"/>
      <w:jc w:val="both"/>
    </w:pPr>
    <w:rPr>
      <w:rFonts w:hint="default" w:ascii="Calibri" w:hAnsi="Calibri" w:eastAsia="宋体" w:cs="Times New Roman"/>
      <w:sz w:val="21"/>
      <w:szCs w:val="22"/>
      <w:lang w:val="en-US" w:eastAsia="zh-CN" w:bidi="ar-SA"/>
    </w:rPr>
  </w:style>
  <w:style w:type="character" w:customStyle="1" w:styleId="472">
    <w:name w:val="批注文字 Char_0"/>
    <w:link w:val="470"/>
    <w:qFormat/>
    <w:uiPriority w:val="0"/>
    <w:rPr>
      <w:sz w:val="21"/>
      <w:szCs w:val="24"/>
    </w:rPr>
  </w:style>
  <w:style w:type="paragraph" w:customStyle="1" w:styleId="473">
    <w:name w:val="正文_2_1"/>
    <w:qFormat/>
    <w:uiPriority w:val="0"/>
    <w:pPr>
      <w:widowControl w:val="0"/>
      <w:jc w:val="both"/>
    </w:pPr>
    <w:rPr>
      <w:rFonts w:hint="default" w:ascii="Calibri" w:hAnsi="Calibri" w:eastAsia="宋体" w:cs="Times New Roman"/>
      <w:lang w:val="en-US" w:eastAsia="zh-CN" w:bidi="ar-SA"/>
    </w:rPr>
  </w:style>
  <w:style w:type="paragraph" w:customStyle="1" w:styleId="474">
    <w:name w:val="标题 2_1"/>
    <w:basedOn w:val="475"/>
    <w:next w:val="475"/>
    <w:link w:val="476"/>
    <w:qFormat/>
    <w:uiPriority w:val="0"/>
    <w:pPr>
      <w:keepNext/>
      <w:keepLines/>
      <w:spacing w:before="260" w:after="260" w:line="413" w:lineRule="auto"/>
      <w:outlineLvl w:val="1"/>
    </w:pPr>
    <w:rPr>
      <w:rFonts w:ascii="Arial" w:hAnsi="Arial" w:eastAsia="黑体"/>
      <w:b/>
      <w:sz w:val="32"/>
    </w:rPr>
  </w:style>
  <w:style w:type="paragraph" w:customStyle="1" w:styleId="475">
    <w:name w:val="正文_5_0"/>
    <w:qFormat/>
    <w:uiPriority w:val="0"/>
    <w:pPr>
      <w:widowControl w:val="0"/>
      <w:jc w:val="both"/>
    </w:pPr>
    <w:rPr>
      <w:rFonts w:hint="default" w:ascii="Calibri" w:hAnsi="Calibri" w:eastAsia="宋体" w:cs="Times New Roman"/>
      <w:lang w:val="en-US" w:eastAsia="zh-CN" w:bidi="ar-SA"/>
    </w:rPr>
  </w:style>
  <w:style w:type="character" w:customStyle="1" w:styleId="476">
    <w:name w:val="标题 2 Char_1"/>
    <w:link w:val="474"/>
    <w:qFormat/>
    <w:uiPriority w:val="0"/>
    <w:rPr>
      <w:rFonts w:ascii="Arial" w:hAnsi="Arial" w:eastAsia="黑体"/>
      <w:b/>
      <w:sz w:val="32"/>
    </w:rPr>
  </w:style>
  <w:style w:type="paragraph" w:customStyle="1" w:styleId="477">
    <w:name w:val="正文_5_0_0"/>
    <w:qFormat/>
    <w:uiPriority w:val="0"/>
    <w:pPr>
      <w:widowControl w:val="0"/>
      <w:jc w:val="both"/>
    </w:pPr>
    <w:rPr>
      <w:rFonts w:hint="default" w:ascii="Calibri" w:hAnsi="Calibri" w:eastAsia="宋体" w:cs="Times New Roman"/>
      <w:lang w:val="en-US" w:eastAsia="zh-CN" w:bidi="ar-SA"/>
    </w:rPr>
  </w:style>
  <w:style w:type="paragraph" w:customStyle="1" w:styleId="478">
    <w:name w:val="正文_6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79">
    <w:name w:val="标题 2_2"/>
    <w:basedOn w:val="480"/>
    <w:next w:val="480"/>
    <w:link w:val="481"/>
    <w:qFormat/>
    <w:uiPriority w:val="0"/>
    <w:pPr>
      <w:keepNext/>
      <w:keepLines/>
      <w:spacing w:before="260" w:after="260" w:line="416" w:lineRule="auto"/>
      <w:outlineLvl w:val="1"/>
    </w:pPr>
    <w:rPr>
      <w:rFonts w:ascii="Cambria" w:hAnsi="Cambria"/>
      <w:b/>
      <w:bCs/>
      <w:sz w:val="32"/>
      <w:szCs w:val="32"/>
    </w:rPr>
  </w:style>
  <w:style w:type="paragraph" w:customStyle="1" w:styleId="480">
    <w:name w:val="正文_6_1"/>
    <w:qFormat/>
    <w:uiPriority w:val="0"/>
    <w:pPr>
      <w:widowControl w:val="0"/>
      <w:jc w:val="both"/>
    </w:pPr>
    <w:rPr>
      <w:rFonts w:hint="default" w:ascii="Calibri" w:hAnsi="Calibri" w:eastAsia="宋体" w:cs="Times New Roman"/>
      <w:lang w:val="en-US" w:eastAsia="zh-CN" w:bidi="ar-SA"/>
    </w:rPr>
  </w:style>
  <w:style w:type="character" w:customStyle="1" w:styleId="481">
    <w:name w:val="标题 2 Char_2"/>
    <w:link w:val="479"/>
    <w:qFormat/>
    <w:uiPriority w:val="0"/>
    <w:rPr>
      <w:rFonts w:ascii="Cambria" w:hAnsi="Cambria"/>
      <w:b/>
      <w:bCs/>
      <w:sz w:val="32"/>
      <w:szCs w:val="32"/>
    </w:rPr>
  </w:style>
  <w:style w:type="paragraph" w:customStyle="1" w:styleId="482">
    <w:name w:val="正文_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83">
    <w:name w:val="Normal_0"/>
    <w:qFormat/>
    <w:uiPriority w:val="0"/>
    <w:rPr>
      <w:rFonts w:hint="default" w:ascii="Times New Roman" w:hAnsi="Times New Roman" w:eastAsia="Times New Roman" w:cs="Times New Roman"/>
      <w:sz w:val="24"/>
      <w:szCs w:val="24"/>
      <w:lang w:val="en-US" w:eastAsia="zh-CN" w:bidi="ar-SA"/>
    </w:rPr>
  </w:style>
  <w:style w:type="paragraph" w:customStyle="1" w:styleId="484">
    <w:name w:val="正文_5_1"/>
    <w:qFormat/>
    <w:uiPriority w:val="0"/>
    <w:pPr>
      <w:widowControl w:val="0"/>
      <w:jc w:val="both"/>
    </w:pPr>
    <w:rPr>
      <w:rFonts w:hint="default" w:ascii="Calibri" w:hAnsi="Calibri" w:eastAsia="宋体" w:cs="Times New Roman"/>
      <w:lang w:val="en-US" w:eastAsia="zh-CN" w:bidi="ar-SA"/>
    </w:rPr>
  </w:style>
  <w:style w:type="paragraph" w:customStyle="1" w:styleId="485">
    <w:name w:val="Normal_2"/>
    <w:qFormat/>
    <w:uiPriority w:val="0"/>
    <w:pPr>
      <w:widowControl w:val="0"/>
      <w:jc w:val="both"/>
    </w:pPr>
    <w:rPr>
      <w:rFonts w:hint="default" w:ascii="Calibri" w:hAnsi="Calibri" w:eastAsia="宋体" w:cs="Times New Roman"/>
      <w:lang w:val="en-US" w:eastAsia="zh-CN" w:bidi="ar-SA"/>
    </w:rPr>
  </w:style>
  <w:style w:type="character" w:customStyle="1" w:styleId="486">
    <w:name w:val="glyphicon"/>
    <w:qFormat/>
    <w:uiPriority w:val="0"/>
  </w:style>
  <w:style w:type="character" w:customStyle="1" w:styleId="487">
    <w:name w:val="hover"/>
    <w:qFormat/>
    <w:uiPriority w:val="0"/>
    <w:rPr>
      <w:shd w:val="clear" w:color="auto" w:fill="EEEEEE"/>
    </w:rPr>
  </w:style>
  <w:style w:type="character" w:customStyle="1" w:styleId="488">
    <w:name w:val="hover1"/>
    <w:qFormat/>
    <w:uiPriority w:val="0"/>
    <w:rPr>
      <w:color w:val="5FB878"/>
    </w:rPr>
  </w:style>
  <w:style w:type="character" w:customStyle="1" w:styleId="489">
    <w:name w:val="hover2"/>
    <w:qFormat/>
    <w:uiPriority w:val="0"/>
    <w:rPr>
      <w:color w:val="5FB878"/>
    </w:rPr>
  </w:style>
  <w:style w:type="character" w:customStyle="1" w:styleId="490">
    <w:name w:val="hover3"/>
    <w:qFormat/>
    <w:uiPriority w:val="0"/>
    <w:rPr>
      <w:color w:val="FFFFFF"/>
    </w:rPr>
  </w:style>
  <w:style w:type="character" w:customStyle="1" w:styleId="491">
    <w:name w:val="old"/>
    <w:qFormat/>
    <w:uiPriority w:val="0"/>
    <w:rPr>
      <w:color w:val="999999"/>
    </w:rPr>
  </w:style>
  <w:style w:type="character" w:customStyle="1" w:styleId="492">
    <w:name w:val="hour_pm"/>
    <w:qFormat/>
    <w:uiPriority w:val="0"/>
  </w:style>
  <w:style w:type="character" w:customStyle="1" w:styleId="493">
    <w:name w:val="hour_am"/>
    <w:qFormat/>
    <w:uiPriority w:val="0"/>
  </w:style>
  <w:style w:type="character" w:customStyle="1" w:styleId="494">
    <w:name w:val="Char Char811"/>
    <w:qFormat/>
    <w:uiPriority w:val="0"/>
    <w:rPr>
      <w:rFonts w:ascii="Arial" w:hAnsi="Arial" w:eastAsia="黑体"/>
      <w:b/>
      <w:bCs/>
      <w:sz w:val="32"/>
      <w:szCs w:val="32"/>
      <w:lang w:val="en-US" w:eastAsia="zh-CN" w:bidi="ar-SA"/>
    </w:rPr>
  </w:style>
  <w:style w:type="character" w:customStyle="1" w:styleId="495">
    <w:name w:val="Char Char721"/>
    <w:qFormat/>
    <w:uiPriority w:val="0"/>
    <w:rPr>
      <w:rFonts w:ascii="Arial" w:hAnsi="Arial" w:eastAsia="黑体"/>
      <w:b/>
      <w:bCs/>
      <w:sz w:val="32"/>
      <w:szCs w:val="32"/>
      <w:lang w:val="en-US" w:eastAsia="zh-CN" w:bidi="ar-SA"/>
    </w:rPr>
  </w:style>
  <w:style w:type="character" w:customStyle="1" w:styleId="496">
    <w:name w:val="hover4"/>
    <w:qFormat/>
    <w:uiPriority w:val="0"/>
    <w:rPr>
      <w:color w:val="FFFFFF"/>
    </w:rPr>
  </w:style>
  <w:style w:type="paragraph" w:customStyle="1" w:styleId="497">
    <w:name w:val="正文111"/>
    <w:qFormat/>
    <w:uiPriority w:val="0"/>
    <w:rPr>
      <w:rFonts w:hint="default" w:ascii="Times New Roman" w:hAnsi="Times New Roman" w:eastAsia="Times New Roman" w:cs="Times New Roman"/>
      <w:sz w:val="24"/>
      <w:szCs w:val="24"/>
      <w:lang w:val="en-US" w:eastAsia="zh-CN" w:bidi="ar-SA"/>
    </w:rPr>
  </w:style>
  <w:style w:type="paragraph" w:customStyle="1" w:styleId="498">
    <w:name w:val="正文2"/>
    <w:qFormat/>
    <w:uiPriority w:val="0"/>
    <w:rPr>
      <w:rFonts w:hint="default" w:ascii="Times New Roman" w:hAnsi="Times New Roman" w:eastAsia="Times New Roman" w:cs="Times New Roman"/>
      <w:sz w:val="24"/>
      <w:szCs w:val="24"/>
      <w:lang w:val="en-US" w:eastAsia="zh-CN" w:bidi="ar-SA"/>
    </w:rPr>
  </w:style>
  <w:style w:type="character" w:customStyle="1" w:styleId="499">
    <w:name w:val="标题 2 字符"/>
    <w:qFormat/>
    <w:uiPriority w:val="9"/>
    <w:rPr>
      <w:rFonts w:ascii="Arial" w:hAnsi="Arial" w:eastAsia="黑体"/>
      <w:b/>
      <w:sz w:val="32"/>
    </w:rPr>
  </w:style>
  <w:style w:type="character" w:customStyle="1" w:styleId="500">
    <w:name w:val="z-窗体顶端 字符2"/>
    <w:link w:val="501"/>
    <w:qFormat/>
    <w:uiPriority w:val="0"/>
    <w:rPr>
      <w:rFonts w:ascii="Arial" w:hAnsi="Arial" w:cs="Arial"/>
      <w:vanish/>
      <w:sz w:val="16"/>
      <w:szCs w:val="16"/>
    </w:rPr>
  </w:style>
  <w:style w:type="paragraph" w:customStyle="1" w:styleId="501">
    <w:name w:val="_Style 95"/>
    <w:basedOn w:val="1"/>
    <w:next w:val="1"/>
    <w:link w:val="500"/>
    <w:qFormat/>
    <w:uiPriority w:val="0"/>
    <w:pPr>
      <w:pBdr>
        <w:bottom w:val="single" w:color="auto" w:sz="6" w:space="1"/>
      </w:pBdr>
      <w:jc w:val="center"/>
    </w:pPr>
    <w:rPr>
      <w:rFonts w:ascii="Arial" w:hAnsi="Arial" w:cs="Arial"/>
      <w:vanish/>
      <w:sz w:val="16"/>
      <w:szCs w:val="16"/>
    </w:rPr>
  </w:style>
  <w:style w:type="character" w:customStyle="1" w:styleId="502">
    <w:name w:val="_Style 106"/>
    <w:qFormat/>
    <w:uiPriority w:val="0"/>
    <w:rPr>
      <w:b/>
      <w:bCs/>
      <w:smallCaps/>
      <w:spacing w:val="5"/>
    </w:rPr>
  </w:style>
  <w:style w:type="character" w:customStyle="1" w:styleId="503">
    <w:name w:val="_Style 127"/>
    <w:qFormat/>
    <w:uiPriority w:val="0"/>
    <w:rPr>
      <w:b/>
      <w:bCs/>
      <w:smallCaps/>
      <w:color w:val="C0504D"/>
      <w:spacing w:val="5"/>
      <w:u w:val="single"/>
    </w:rPr>
  </w:style>
  <w:style w:type="character" w:customStyle="1" w:styleId="504">
    <w:name w:val="_Style 144"/>
    <w:qFormat/>
    <w:uiPriority w:val="0"/>
    <w:rPr>
      <w:smallCaps/>
      <w:color w:val="C0504D"/>
      <w:u w:val="single"/>
    </w:rPr>
  </w:style>
  <w:style w:type="character" w:customStyle="1" w:styleId="505">
    <w:name w:val="_Style 157"/>
    <w:qFormat/>
    <w:uiPriority w:val="0"/>
    <w:rPr>
      <w:i/>
      <w:iCs/>
      <w:color w:val="808080"/>
    </w:rPr>
  </w:style>
  <w:style w:type="character" w:customStyle="1" w:styleId="506">
    <w:name w:val="_Style 167"/>
    <w:qFormat/>
    <w:uiPriority w:val="0"/>
    <w:rPr>
      <w:b/>
      <w:bCs/>
      <w:i/>
      <w:iCs/>
      <w:color w:val="4F81BD"/>
    </w:rPr>
  </w:style>
  <w:style w:type="character" w:customStyle="1" w:styleId="507">
    <w:name w:val="z-窗体底端 字符2"/>
    <w:link w:val="508"/>
    <w:qFormat/>
    <w:uiPriority w:val="0"/>
    <w:rPr>
      <w:rFonts w:ascii="Arial" w:hAnsi="Arial" w:cs="Arial"/>
      <w:vanish/>
      <w:sz w:val="16"/>
      <w:szCs w:val="16"/>
    </w:rPr>
  </w:style>
  <w:style w:type="paragraph" w:customStyle="1" w:styleId="508">
    <w:name w:val="_Style 170"/>
    <w:basedOn w:val="1"/>
    <w:next w:val="1"/>
    <w:link w:val="507"/>
    <w:qFormat/>
    <w:uiPriority w:val="0"/>
    <w:pPr>
      <w:pBdr>
        <w:top w:val="single" w:color="auto" w:sz="6" w:space="1"/>
      </w:pBdr>
      <w:jc w:val="center"/>
    </w:pPr>
    <w:rPr>
      <w:rFonts w:ascii="Arial" w:hAnsi="Arial" w:cs="Arial"/>
      <w:vanish/>
      <w:sz w:val="16"/>
      <w:szCs w:val="16"/>
    </w:rPr>
  </w:style>
  <w:style w:type="paragraph" w:customStyle="1" w:styleId="509">
    <w:name w:val="_Style 186"/>
    <w:qFormat/>
    <w:uiPriority w:val="0"/>
    <w:rPr>
      <w:rFonts w:hint="default" w:ascii="Times New Roman" w:hAnsi="Times New Roman" w:eastAsia="宋体" w:cs="Times New Roman"/>
      <w:sz w:val="21"/>
      <w:szCs w:val="24"/>
      <w:lang w:val="en-US" w:eastAsia="zh-CN" w:bidi="ar-SA"/>
    </w:rPr>
  </w:style>
  <w:style w:type="paragraph" w:customStyle="1" w:styleId="510">
    <w:name w:val="_Style 232"/>
    <w:basedOn w:val="2"/>
    <w:next w:val="1"/>
    <w:qFormat/>
    <w:uiPriority w:val="39"/>
    <w:pPr>
      <w:spacing w:before="340" w:after="330" w:line="576" w:lineRule="auto"/>
      <w:outlineLvl w:val="9"/>
    </w:pPr>
    <w:rPr>
      <w:rFonts w:ascii="Calibri" w:hAnsi="Calibri" w:eastAsia="黑体" w:cs="Times New Roman"/>
      <w:b/>
      <w:bCs/>
      <w:sz w:val="44"/>
      <w:szCs w:val="44"/>
    </w:rPr>
  </w:style>
  <w:style w:type="character" w:customStyle="1" w:styleId="511">
    <w:name w:val="Char Char71"/>
    <w:qFormat/>
    <w:uiPriority w:val="0"/>
    <w:rPr>
      <w:rFonts w:ascii="Arial" w:hAnsi="Arial" w:eastAsia="黑体"/>
      <w:b/>
      <w:bCs/>
      <w:sz w:val="32"/>
      <w:szCs w:val="32"/>
      <w:lang w:val="en-US" w:eastAsia="zh-CN" w:bidi="ar-SA"/>
    </w:rPr>
  </w:style>
  <w:style w:type="character" w:customStyle="1" w:styleId="512">
    <w:name w:val="Char Char25"/>
    <w:qFormat/>
    <w:uiPriority w:val="0"/>
    <w:rPr>
      <w:rFonts w:eastAsia="宋体"/>
      <w:sz w:val="21"/>
      <w:szCs w:val="24"/>
      <w:lang w:val="en-US" w:eastAsia="zh-CN" w:bidi="ar-SA"/>
    </w:rPr>
  </w:style>
  <w:style w:type="paragraph" w:customStyle="1" w:styleId="513">
    <w:name w:val="Char2"/>
    <w:basedOn w:val="1"/>
    <w:qFormat/>
    <w:uiPriority w:val="0"/>
    <w:pPr>
      <w:tabs>
        <w:tab w:val="left" w:pos="360"/>
      </w:tabs>
    </w:pPr>
    <w:rPr>
      <w:rFonts w:ascii="Calibri" w:hAnsi="Calibri"/>
    </w:rPr>
  </w:style>
  <w:style w:type="character" w:customStyle="1" w:styleId="514">
    <w:name w:val="Char Char81"/>
    <w:qFormat/>
    <w:uiPriority w:val="0"/>
    <w:rPr>
      <w:rFonts w:ascii="Arial" w:hAnsi="Arial" w:eastAsia="黑体"/>
      <w:b/>
      <w:bCs/>
      <w:sz w:val="32"/>
      <w:szCs w:val="32"/>
      <w:lang w:val="en-US" w:eastAsia="zh-CN" w:bidi="ar-SA"/>
    </w:rPr>
  </w:style>
  <w:style w:type="character" w:customStyle="1" w:styleId="515">
    <w:name w:val="Char Char72"/>
    <w:qFormat/>
    <w:uiPriority w:val="0"/>
    <w:rPr>
      <w:rFonts w:ascii="Arial" w:hAnsi="Arial" w:eastAsia="黑体"/>
      <w:b/>
      <w:bCs/>
      <w:sz w:val="32"/>
      <w:szCs w:val="32"/>
      <w:lang w:val="en-US" w:eastAsia="zh-CN" w:bidi="ar-SA"/>
    </w:rPr>
  </w:style>
  <w:style w:type="paragraph" w:customStyle="1" w:styleId="516">
    <w:name w:val="正文11"/>
    <w:qFormat/>
    <w:uiPriority w:val="0"/>
    <w:rPr>
      <w:rFonts w:hint="default" w:ascii="Times New Roman" w:hAnsi="Times New Roman" w:eastAsia="Times New Roman" w:cs="Times New Roman"/>
      <w:sz w:val="24"/>
      <w:szCs w:val="24"/>
      <w:lang w:val="en-US" w:eastAsia="zh-CN" w:bidi="ar-SA"/>
    </w:rPr>
  </w:style>
  <w:style w:type="character" w:customStyle="1" w:styleId="517">
    <w:name w:val="标题 1 字符1"/>
    <w:qFormat/>
    <w:uiPriority w:val="0"/>
    <w:rPr>
      <w:rFonts w:eastAsia="黑体"/>
      <w:b/>
      <w:bCs/>
      <w:sz w:val="32"/>
      <w:szCs w:val="44"/>
      <w:lang w:bidi="ar-SA"/>
    </w:rPr>
  </w:style>
  <w:style w:type="character" w:customStyle="1" w:styleId="518">
    <w:name w:val="标题 2 字符1"/>
    <w:qFormat/>
    <w:uiPriority w:val="0"/>
    <w:rPr>
      <w:rFonts w:ascii="Arial" w:hAnsi="Arial" w:eastAsia="黑体"/>
      <w:b/>
      <w:bCs/>
      <w:sz w:val="21"/>
      <w:szCs w:val="32"/>
      <w:lang w:bidi="ar-SA"/>
    </w:rPr>
  </w:style>
  <w:style w:type="character" w:customStyle="1" w:styleId="519">
    <w:name w:val="标题 3 字符1"/>
    <w:qFormat/>
    <w:uiPriority w:val="0"/>
    <w:rPr>
      <w:rFonts w:eastAsia="黑体"/>
      <w:b/>
      <w:bCs/>
      <w:sz w:val="21"/>
      <w:szCs w:val="32"/>
      <w:lang w:bidi="ar-SA"/>
    </w:rPr>
  </w:style>
  <w:style w:type="character" w:customStyle="1" w:styleId="520">
    <w:name w:val="标题 4 字符1"/>
    <w:qFormat/>
    <w:uiPriority w:val="0"/>
    <w:rPr>
      <w:rFonts w:ascii="Arial" w:hAnsi="Arial" w:eastAsia="宋体"/>
      <w:b/>
      <w:bCs/>
      <w:sz w:val="21"/>
      <w:szCs w:val="28"/>
      <w:lang w:val="en-US" w:eastAsia="zh-CN" w:bidi="ar-SA"/>
    </w:rPr>
  </w:style>
  <w:style w:type="character" w:customStyle="1" w:styleId="521">
    <w:name w:val="标题 5 字符1"/>
    <w:qFormat/>
    <w:uiPriority w:val="9"/>
    <w:rPr>
      <w:rFonts w:eastAsia="宋体"/>
      <w:b/>
      <w:bCs/>
      <w:sz w:val="28"/>
      <w:szCs w:val="28"/>
      <w:lang w:val="en-US" w:eastAsia="zh-CN" w:bidi="ar-SA"/>
    </w:rPr>
  </w:style>
  <w:style w:type="character" w:customStyle="1" w:styleId="522">
    <w:name w:val="标题 6 字符1"/>
    <w:qFormat/>
    <w:uiPriority w:val="0"/>
    <w:rPr>
      <w:rFonts w:ascii="Cambria" w:hAnsi="Cambria"/>
      <w:b/>
      <w:bCs/>
      <w:sz w:val="24"/>
      <w:szCs w:val="24"/>
    </w:rPr>
  </w:style>
  <w:style w:type="character" w:customStyle="1" w:styleId="523">
    <w:name w:val="标题 7 字符1"/>
    <w:qFormat/>
    <w:uiPriority w:val="0"/>
    <w:rPr>
      <w:rFonts w:ascii="Calibri" w:hAnsi="Calibri"/>
      <w:b/>
      <w:bCs/>
      <w:sz w:val="24"/>
      <w:szCs w:val="24"/>
    </w:rPr>
  </w:style>
  <w:style w:type="character" w:customStyle="1" w:styleId="524">
    <w:name w:val="标题 8 字符1"/>
    <w:qFormat/>
    <w:uiPriority w:val="0"/>
    <w:rPr>
      <w:rFonts w:ascii="Cambria" w:hAnsi="Cambria"/>
      <w:sz w:val="24"/>
      <w:szCs w:val="24"/>
    </w:rPr>
  </w:style>
  <w:style w:type="character" w:customStyle="1" w:styleId="525">
    <w:name w:val="标题 9 字符1"/>
    <w:qFormat/>
    <w:uiPriority w:val="0"/>
    <w:rPr>
      <w:rFonts w:ascii="Cambria" w:hAnsi="Cambria"/>
      <w:sz w:val="21"/>
      <w:szCs w:val="21"/>
    </w:rPr>
  </w:style>
  <w:style w:type="character" w:customStyle="1" w:styleId="526">
    <w:name w:val="文档结构图 字符1"/>
    <w:qFormat/>
    <w:uiPriority w:val="0"/>
    <w:rPr>
      <w:sz w:val="21"/>
      <w:szCs w:val="24"/>
      <w:shd w:val="clear" w:color="auto" w:fill="000080"/>
      <w:lang w:bidi="ar-SA"/>
    </w:rPr>
  </w:style>
  <w:style w:type="character" w:customStyle="1" w:styleId="527">
    <w:name w:val="批注文字 字符1"/>
    <w:qFormat/>
    <w:uiPriority w:val="0"/>
    <w:rPr>
      <w:rFonts w:eastAsia="宋体"/>
      <w:sz w:val="21"/>
      <w:szCs w:val="24"/>
      <w:lang w:val="en-US" w:eastAsia="zh-CN" w:bidi="ar-SA"/>
    </w:rPr>
  </w:style>
  <w:style w:type="character" w:customStyle="1" w:styleId="528">
    <w:name w:val="正文文本 3 字符1"/>
    <w:qFormat/>
    <w:uiPriority w:val="0"/>
    <w:rPr>
      <w:sz w:val="16"/>
      <w:szCs w:val="16"/>
    </w:rPr>
  </w:style>
  <w:style w:type="character" w:customStyle="1" w:styleId="529">
    <w:name w:val="正文文本 字符1"/>
    <w:qFormat/>
    <w:uiPriority w:val="0"/>
    <w:rPr>
      <w:rFonts w:eastAsia="宋体"/>
      <w:sz w:val="21"/>
      <w:szCs w:val="22"/>
      <w:lang w:val="en-US" w:eastAsia="zh-CN" w:bidi="ar-SA"/>
    </w:rPr>
  </w:style>
  <w:style w:type="character" w:customStyle="1" w:styleId="530">
    <w:name w:val="正文文本缩进 字符1"/>
    <w:qFormat/>
    <w:uiPriority w:val="0"/>
    <w:rPr>
      <w:rFonts w:ascii="宋体" w:hAnsi="宋体"/>
      <w:sz w:val="21"/>
      <w:lang w:bidi="ar-SA"/>
    </w:rPr>
  </w:style>
  <w:style w:type="character" w:customStyle="1" w:styleId="531">
    <w:name w:val="纯文本 字符1"/>
    <w:qFormat/>
    <w:uiPriority w:val="0"/>
    <w:rPr>
      <w:rFonts w:ascii="宋体" w:hAnsi="Courier New" w:eastAsia="宋体"/>
      <w:sz w:val="21"/>
      <w:szCs w:val="24"/>
      <w:lang w:val="en-US" w:eastAsia="zh-CN" w:bidi="ar-SA"/>
    </w:rPr>
  </w:style>
  <w:style w:type="character" w:customStyle="1" w:styleId="532">
    <w:name w:val="日期 字符1"/>
    <w:qFormat/>
    <w:uiPriority w:val="0"/>
    <w:rPr>
      <w:sz w:val="21"/>
      <w:szCs w:val="24"/>
      <w:lang w:bidi="ar-SA"/>
    </w:rPr>
  </w:style>
  <w:style w:type="character" w:customStyle="1" w:styleId="533">
    <w:name w:val="正文文本缩进 2 字符1"/>
    <w:qFormat/>
    <w:uiPriority w:val="0"/>
    <w:rPr>
      <w:sz w:val="21"/>
      <w:szCs w:val="24"/>
      <w:lang w:bidi="ar-SA"/>
    </w:rPr>
  </w:style>
  <w:style w:type="character" w:customStyle="1" w:styleId="534">
    <w:name w:val="尾注文本 字符1"/>
    <w:qFormat/>
    <w:uiPriority w:val="0"/>
    <w:rPr>
      <w:rFonts w:ascii="宋体" w:hAnsi="宋体"/>
      <w:sz w:val="21"/>
      <w:szCs w:val="24"/>
    </w:rPr>
  </w:style>
  <w:style w:type="character" w:customStyle="1" w:styleId="535">
    <w:name w:val="批注框文本 字符1"/>
    <w:qFormat/>
    <w:uiPriority w:val="0"/>
    <w:rPr>
      <w:sz w:val="18"/>
      <w:szCs w:val="18"/>
      <w:lang w:bidi="ar-SA"/>
    </w:rPr>
  </w:style>
  <w:style w:type="character" w:customStyle="1" w:styleId="536">
    <w:name w:val="页脚 字符1"/>
    <w:qFormat/>
    <w:uiPriority w:val="0"/>
    <w:rPr>
      <w:sz w:val="18"/>
      <w:szCs w:val="18"/>
      <w:lang w:bidi="ar-SA"/>
    </w:rPr>
  </w:style>
  <w:style w:type="character" w:customStyle="1" w:styleId="537">
    <w:name w:val="页眉 字符1"/>
    <w:qFormat/>
    <w:uiPriority w:val="0"/>
    <w:rPr>
      <w:sz w:val="18"/>
      <w:szCs w:val="18"/>
      <w:lang w:bidi="ar-SA"/>
    </w:rPr>
  </w:style>
  <w:style w:type="character" w:customStyle="1" w:styleId="538">
    <w:name w:val="副标题 字符1"/>
    <w:qFormat/>
    <w:uiPriority w:val="0"/>
    <w:rPr>
      <w:rFonts w:ascii="Cambria" w:hAnsi="Cambria"/>
      <w:b/>
      <w:bCs/>
      <w:sz w:val="32"/>
      <w:szCs w:val="32"/>
    </w:rPr>
  </w:style>
  <w:style w:type="character" w:customStyle="1" w:styleId="539">
    <w:name w:val="脚注文本 字符1"/>
    <w:qFormat/>
    <w:uiPriority w:val="0"/>
    <w:rPr>
      <w:sz w:val="18"/>
      <w:lang w:bidi="ar-SA"/>
    </w:rPr>
  </w:style>
  <w:style w:type="character" w:customStyle="1" w:styleId="540">
    <w:name w:val="正文文本缩进 3 字符"/>
    <w:qFormat/>
    <w:uiPriority w:val="0"/>
    <w:rPr>
      <w:rFonts w:ascii="Calibri" w:hAnsi="Calibri"/>
      <w:sz w:val="16"/>
      <w:szCs w:val="16"/>
    </w:rPr>
  </w:style>
  <w:style w:type="character" w:customStyle="1" w:styleId="541">
    <w:name w:val="标题 字符1"/>
    <w:qFormat/>
    <w:uiPriority w:val="0"/>
    <w:rPr>
      <w:rFonts w:ascii="Cambria" w:hAnsi="Cambria"/>
      <w:b/>
      <w:bCs/>
      <w:sz w:val="32"/>
      <w:szCs w:val="32"/>
      <w:lang w:bidi="ar-SA"/>
    </w:rPr>
  </w:style>
  <w:style w:type="character" w:customStyle="1" w:styleId="542">
    <w:name w:val="批注主题 字符1"/>
    <w:qFormat/>
    <w:uiPriority w:val="0"/>
    <w:rPr>
      <w:b/>
      <w:bCs/>
      <w:sz w:val="21"/>
      <w:szCs w:val="24"/>
      <w:lang w:bidi="ar-SA"/>
    </w:rPr>
  </w:style>
  <w:style w:type="character" w:customStyle="1" w:styleId="543">
    <w:name w:val="正文文本首行缩进 字符1"/>
    <w:qFormat/>
    <w:uiPriority w:val="0"/>
    <w:rPr>
      <w:rFonts w:eastAsia="宋体"/>
      <w:sz w:val="21"/>
      <w:szCs w:val="24"/>
      <w:lang w:val="en-US" w:eastAsia="zh-CN" w:bidi="ar-SA"/>
    </w:rPr>
  </w:style>
  <w:style w:type="character" w:customStyle="1" w:styleId="544">
    <w:name w:val="z-窗体底端 字符1"/>
    <w:qFormat/>
    <w:uiPriority w:val="0"/>
    <w:rPr>
      <w:rFonts w:ascii="Arial" w:hAnsi="Arial" w:cs="Arial"/>
      <w:vanish/>
      <w:sz w:val="16"/>
      <w:szCs w:val="16"/>
    </w:rPr>
  </w:style>
  <w:style w:type="character" w:customStyle="1" w:styleId="545">
    <w:name w:val="z-窗体顶端 字符1"/>
    <w:qFormat/>
    <w:uiPriority w:val="0"/>
    <w:rPr>
      <w:rFonts w:ascii="Arial" w:hAnsi="Arial" w:cs="Arial"/>
      <w:vanish/>
      <w:sz w:val="16"/>
      <w:szCs w:val="16"/>
    </w:rPr>
  </w:style>
  <w:style w:type="character" w:customStyle="1" w:styleId="546">
    <w:name w:val="明显引用 字符1"/>
    <w:qFormat/>
    <w:uiPriority w:val="30"/>
    <w:rPr>
      <w:b/>
      <w:bCs/>
      <w:i/>
      <w:iCs/>
      <w:color w:val="4F81BD"/>
      <w:lang w:bidi="ar-SA"/>
    </w:rPr>
  </w:style>
  <w:style w:type="character" w:customStyle="1" w:styleId="547">
    <w:name w:val="引用 字符1"/>
    <w:qFormat/>
    <w:uiPriority w:val="29"/>
    <w:rPr>
      <w:i/>
      <w:iCs/>
      <w:color w:val="000000"/>
      <w:lang w:bidi="ar-SA"/>
    </w:rPr>
  </w:style>
  <w:style w:type="character" w:customStyle="1" w:styleId="548">
    <w:name w:val="无间隔 字符1"/>
    <w:qFormat/>
    <w:uiPriority w:val="0"/>
    <w:rPr>
      <w:sz w:val="21"/>
      <w:szCs w:val="24"/>
      <w:lang w:bidi="ar-SA"/>
    </w:rPr>
  </w:style>
  <w:style w:type="character" w:customStyle="1" w:styleId="549">
    <w:name w:val="标题 1 字符"/>
    <w:qFormat/>
    <w:uiPriority w:val="0"/>
    <w:rPr>
      <w:rFonts w:eastAsia="黑体"/>
      <w:b/>
      <w:bCs/>
      <w:sz w:val="32"/>
      <w:szCs w:val="44"/>
      <w:lang w:bidi="ar-SA"/>
    </w:rPr>
  </w:style>
  <w:style w:type="character" w:customStyle="1" w:styleId="550">
    <w:name w:val="标题 3 字符"/>
    <w:qFormat/>
    <w:uiPriority w:val="0"/>
    <w:rPr>
      <w:rFonts w:eastAsia="黑体"/>
      <w:b/>
      <w:bCs/>
      <w:sz w:val="21"/>
      <w:szCs w:val="32"/>
      <w:lang w:bidi="ar-SA"/>
    </w:rPr>
  </w:style>
  <w:style w:type="character" w:customStyle="1" w:styleId="551">
    <w:name w:val="标题 4 字符"/>
    <w:qFormat/>
    <w:uiPriority w:val="99"/>
    <w:rPr>
      <w:rFonts w:ascii="Arial" w:hAnsi="Arial" w:eastAsia="宋体"/>
      <w:b/>
      <w:bCs/>
      <w:sz w:val="21"/>
      <w:szCs w:val="28"/>
      <w:lang w:val="en-US" w:eastAsia="zh-CN" w:bidi="ar-SA"/>
    </w:rPr>
  </w:style>
  <w:style w:type="character" w:customStyle="1" w:styleId="552">
    <w:name w:val="标题 5 字符"/>
    <w:qFormat/>
    <w:uiPriority w:val="99"/>
    <w:rPr>
      <w:rFonts w:eastAsia="宋体"/>
      <w:b/>
      <w:bCs/>
      <w:sz w:val="28"/>
      <w:szCs w:val="28"/>
      <w:lang w:val="en-US" w:eastAsia="zh-CN" w:bidi="ar-SA"/>
    </w:rPr>
  </w:style>
  <w:style w:type="character" w:customStyle="1" w:styleId="553">
    <w:name w:val="标题 6 字符"/>
    <w:qFormat/>
    <w:uiPriority w:val="0"/>
    <w:rPr>
      <w:rFonts w:ascii="Cambria" w:hAnsi="Cambria"/>
      <w:b/>
      <w:bCs/>
      <w:sz w:val="24"/>
      <w:szCs w:val="24"/>
    </w:rPr>
  </w:style>
  <w:style w:type="character" w:customStyle="1" w:styleId="554">
    <w:name w:val="标题 7 字符"/>
    <w:qFormat/>
    <w:uiPriority w:val="0"/>
    <w:rPr>
      <w:rFonts w:ascii="Calibri" w:hAnsi="Calibri"/>
      <w:b/>
      <w:bCs/>
      <w:sz w:val="24"/>
      <w:szCs w:val="24"/>
    </w:rPr>
  </w:style>
  <w:style w:type="character" w:customStyle="1" w:styleId="555">
    <w:name w:val="标题 8 字符"/>
    <w:qFormat/>
    <w:uiPriority w:val="0"/>
    <w:rPr>
      <w:rFonts w:ascii="Cambria" w:hAnsi="Cambria"/>
      <w:sz w:val="24"/>
      <w:szCs w:val="24"/>
    </w:rPr>
  </w:style>
  <w:style w:type="character" w:customStyle="1" w:styleId="556">
    <w:name w:val="标题 9 字符"/>
    <w:qFormat/>
    <w:uiPriority w:val="0"/>
    <w:rPr>
      <w:rFonts w:ascii="Cambria" w:hAnsi="Cambria"/>
      <w:sz w:val="21"/>
      <w:szCs w:val="21"/>
    </w:rPr>
  </w:style>
  <w:style w:type="paragraph" w:customStyle="1" w:styleId="557">
    <w:name w:val="_Style 239"/>
    <w:basedOn w:val="1"/>
    <w:next w:val="96"/>
    <w:link w:val="558"/>
    <w:qFormat/>
    <w:uiPriority w:val="0"/>
    <w:pPr>
      <w:ind w:firstLine="420"/>
    </w:pPr>
    <w:rPr>
      <w:sz w:val="21"/>
    </w:rPr>
  </w:style>
  <w:style w:type="character" w:customStyle="1" w:styleId="558">
    <w:name w:val="正文文本首行缩进 字符"/>
    <w:link w:val="557"/>
    <w:qFormat/>
    <w:uiPriority w:val="0"/>
    <w:rPr>
      <w:sz w:val="21"/>
      <w:szCs w:val="24"/>
    </w:rPr>
  </w:style>
  <w:style w:type="character" w:customStyle="1" w:styleId="559">
    <w:name w:val="明显引用 字符"/>
    <w:qFormat/>
    <w:uiPriority w:val="0"/>
    <w:rPr>
      <w:b/>
      <w:bCs/>
      <w:i/>
      <w:iCs/>
      <w:color w:val="4F81BD"/>
      <w:lang w:bidi="ar-SA"/>
    </w:rPr>
  </w:style>
  <w:style w:type="character" w:customStyle="1" w:styleId="560">
    <w:name w:val="脚注文本 字符"/>
    <w:qFormat/>
    <w:uiPriority w:val="0"/>
    <w:rPr>
      <w:sz w:val="18"/>
      <w:lang w:bidi="ar-SA"/>
    </w:rPr>
  </w:style>
  <w:style w:type="character" w:customStyle="1" w:styleId="561">
    <w:name w:val="正文文本 字符"/>
    <w:qFormat/>
    <w:uiPriority w:val="0"/>
    <w:rPr>
      <w:rFonts w:eastAsia="宋体"/>
      <w:sz w:val="21"/>
      <w:szCs w:val="22"/>
      <w:lang w:val="en-US" w:eastAsia="zh-CN" w:bidi="ar-SA"/>
    </w:rPr>
  </w:style>
  <w:style w:type="character" w:customStyle="1" w:styleId="562">
    <w:name w:val="批注框文本 字符"/>
    <w:qFormat/>
    <w:uiPriority w:val="99"/>
    <w:rPr>
      <w:sz w:val="18"/>
      <w:szCs w:val="18"/>
      <w:lang w:bidi="ar-SA"/>
    </w:rPr>
  </w:style>
  <w:style w:type="character" w:customStyle="1" w:styleId="563">
    <w:name w:val="批注文字 字符"/>
    <w:qFormat/>
    <w:uiPriority w:val="0"/>
    <w:rPr>
      <w:rFonts w:eastAsia="宋体"/>
      <w:sz w:val="21"/>
      <w:szCs w:val="24"/>
      <w:lang w:val="en-US" w:eastAsia="zh-CN" w:bidi="ar-SA"/>
    </w:rPr>
  </w:style>
  <w:style w:type="character" w:customStyle="1" w:styleId="564">
    <w:name w:val="日期 字符"/>
    <w:qFormat/>
    <w:uiPriority w:val="0"/>
    <w:rPr>
      <w:sz w:val="21"/>
      <w:szCs w:val="24"/>
      <w:lang w:bidi="ar-SA"/>
    </w:rPr>
  </w:style>
  <w:style w:type="character" w:customStyle="1" w:styleId="565">
    <w:name w:val="正文文本缩进 字符"/>
    <w:qFormat/>
    <w:uiPriority w:val="0"/>
    <w:rPr>
      <w:rFonts w:ascii="宋体" w:hAnsi="宋体"/>
      <w:sz w:val="21"/>
      <w:lang w:bidi="ar-SA"/>
    </w:rPr>
  </w:style>
  <w:style w:type="character" w:customStyle="1" w:styleId="566">
    <w:name w:val="纯文本 字符"/>
    <w:qFormat/>
    <w:uiPriority w:val="0"/>
    <w:rPr>
      <w:rFonts w:ascii="宋体" w:hAnsi="Courier New" w:eastAsia="宋体"/>
      <w:sz w:val="21"/>
      <w:szCs w:val="24"/>
      <w:lang w:val="en-US" w:eastAsia="zh-CN" w:bidi="ar-SA"/>
    </w:rPr>
  </w:style>
  <w:style w:type="character" w:customStyle="1" w:styleId="567">
    <w:name w:val="页眉 字符"/>
    <w:qFormat/>
    <w:uiPriority w:val="99"/>
    <w:rPr>
      <w:sz w:val="18"/>
      <w:szCs w:val="18"/>
      <w:lang w:bidi="ar-SA"/>
    </w:rPr>
  </w:style>
  <w:style w:type="character" w:customStyle="1" w:styleId="568">
    <w:name w:val="引用 字符"/>
    <w:qFormat/>
    <w:uiPriority w:val="0"/>
    <w:rPr>
      <w:i/>
      <w:iCs/>
      <w:color w:val="000000"/>
      <w:lang w:bidi="ar-SA"/>
    </w:rPr>
  </w:style>
  <w:style w:type="character" w:customStyle="1" w:styleId="569">
    <w:name w:val="尾注文本 字符"/>
    <w:qFormat/>
    <w:uiPriority w:val="0"/>
    <w:rPr>
      <w:rFonts w:ascii="宋体" w:hAnsi="宋体"/>
      <w:sz w:val="21"/>
      <w:szCs w:val="24"/>
    </w:rPr>
  </w:style>
  <w:style w:type="character" w:customStyle="1" w:styleId="570">
    <w:name w:val="正文文本 3 字符"/>
    <w:qFormat/>
    <w:uiPriority w:val="0"/>
    <w:rPr>
      <w:sz w:val="16"/>
      <w:szCs w:val="16"/>
    </w:rPr>
  </w:style>
  <w:style w:type="character" w:customStyle="1" w:styleId="571">
    <w:name w:val="文档结构图 字符"/>
    <w:qFormat/>
    <w:uiPriority w:val="0"/>
    <w:rPr>
      <w:sz w:val="21"/>
      <w:szCs w:val="24"/>
      <w:shd w:val="clear" w:color="auto" w:fill="000080"/>
      <w:lang w:bidi="ar-SA"/>
    </w:rPr>
  </w:style>
  <w:style w:type="character" w:customStyle="1" w:styleId="572">
    <w:name w:val="页脚 字符"/>
    <w:qFormat/>
    <w:uiPriority w:val="99"/>
    <w:rPr>
      <w:sz w:val="18"/>
      <w:szCs w:val="18"/>
      <w:lang w:bidi="ar-SA"/>
    </w:rPr>
  </w:style>
  <w:style w:type="character" w:customStyle="1" w:styleId="573">
    <w:name w:val="副标题 字符"/>
    <w:qFormat/>
    <w:uiPriority w:val="0"/>
    <w:rPr>
      <w:rFonts w:ascii="Cambria" w:hAnsi="Cambria"/>
      <w:b/>
      <w:bCs/>
      <w:sz w:val="32"/>
      <w:szCs w:val="32"/>
    </w:rPr>
  </w:style>
  <w:style w:type="character" w:customStyle="1" w:styleId="574">
    <w:name w:val="z-窗体底端 字符"/>
    <w:qFormat/>
    <w:uiPriority w:val="0"/>
    <w:rPr>
      <w:rFonts w:ascii="Arial" w:hAnsi="Arial" w:cs="Arial"/>
      <w:vanish/>
      <w:sz w:val="16"/>
      <w:szCs w:val="16"/>
    </w:rPr>
  </w:style>
  <w:style w:type="character" w:customStyle="1" w:styleId="575">
    <w:name w:val="标题 字符"/>
    <w:qFormat/>
    <w:uiPriority w:val="10"/>
    <w:rPr>
      <w:rFonts w:ascii="Cambria" w:hAnsi="Cambria"/>
      <w:b/>
      <w:bCs/>
      <w:sz w:val="32"/>
      <w:szCs w:val="32"/>
      <w:lang w:bidi="ar-SA"/>
    </w:rPr>
  </w:style>
  <w:style w:type="character" w:customStyle="1" w:styleId="576">
    <w:name w:val="z-窗体顶端 字符"/>
    <w:qFormat/>
    <w:uiPriority w:val="0"/>
    <w:rPr>
      <w:rFonts w:ascii="Arial" w:hAnsi="Arial" w:cs="Arial"/>
      <w:vanish/>
      <w:sz w:val="16"/>
      <w:szCs w:val="16"/>
    </w:rPr>
  </w:style>
  <w:style w:type="character" w:customStyle="1" w:styleId="577">
    <w:name w:val="正文文本缩进 2 字符"/>
    <w:qFormat/>
    <w:uiPriority w:val="0"/>
    <w:rPr>
      <w:sz w:val="21"/>
      <w:szCs w:val="24"/>
      <w:lang w:bidi="ar-SA"/>
    </w:rPr>
  </w:style>
  <w:style w:type="character" w:customStyle="1" w:styleId="578">
    <w:name w:val="批注主题 字符"/>
    <w:qFormat/>
    <w:uiPriority w:val="99"/>
    <w:rPr>
      <w:b/>
      <w:bCs/>
      <w:sz w:val="21"/>
      <w:szCs w:val="24"/>
      <w:lang w:bidi="ar-SA"/>
    </w:rPr>
  </w:style>
  <w:style w:type="character" w:customStyle="1" w:styleId="579">
    <w:name w:val="标题 1 Char2"/>
    <w:qFormat/>
    <w:uiPriority w:val="0"/>
    <w:rPr>
      <w:rFonts w:ascii="Times New Roman" w:hAnsi="Times New Roman" w:eastAsia="黑体" w:cs="Times New Roman"/>
      <w:b/>
      <w:bCs/>
      <w:sz w:val="32"/>
      <w:szCs w:val="44"/>
    </w:rPr>
  </w:style>
  <w:style w:type="character" w:customStyle="1" w:styleId="580">
    <w:name w:val="标题 2 Char2"/>
    <w:qFormat/>
    <w:uiPriority w:val="0"/>
    <w:rPr>
      <w:rFonts w:ascii="Arial" w:hAnsi="Arial" w:eastAsia="黑体" w:cs="Times New Roman"/>
      <w:b/>
      <w:bCs/>
      <w:szCs w:val="32"/>
    </w:rPr>
  </w:style>
  <w:style w:type="character" w:customStyle="1" w:styleId="581">
    <w:name w:val="标题 3 Char2"/>
    <w:qFormat/>
    <w:uiPriority w:val="0"/>
    <w:rPr>
      <w:rFonts w:ascii="Times New Roman" w:hAnsi="Times New Roman" w:eastAsia="黑体" w:cs="Times New Roman"/>
      <w:b/>
      <w:bCs/>
      <w:szCs w:val="32"/>
    </w:rPr>
  </w:style>
  <w:style w:type="character" w:customStyle="1" w:styleId="582">
    <w:name w:val="标题 4 Char1"/>
    <w:qFormat/>
    <w:uiPriority w:val="0"/>
    <w:rPr>
      <w:rFonts w:ascii="Arial" w:hAnsi="Arial" w:eastAsia="宋体" w:cs="Times New Roman"/>
      <w:b/>
      <w:bCs/>
      <w:szCs w:val="28"/>
    </w:rPr>
  </w:style>
  <w:style w:type="character" w:customStyle="1" w:styleId="583">
    <w:name w:val="标题 5 Char1"/>
    <w:qFormat/>
    <w:uiPriority w:val="9"/>
    <w:rPr>
      <w:rFonts w:ascii="Times New Roman" w:hAnsi="Times New Roman" w:eastAsia="宋体" w:cs="Times New Roman"/>
      <w:b/>
      <w:bCs/>
      <w:sz w:val="28"/>
      <w:szCs w:val="28"/>
    </w:rPr>
  </w:style>
  <w:style w:type="character" w:customStyle="1" w:styleId="584">
    <w:name w:val="标题 6 Char1"/>
    <w:qFormat/>
    <w:uiPriority w:val="0"/>
    <w:rPr>
      <w:rFonts w:ascii="Cambria" w:hAnsi="Cambria" w:eastAsia="宋体" w:cs="Times New Roman"/>
      <w:b/>
      <w:bCs/>
      <w:sz w:val="24"/>
      <w:szCs w:val="24"/>
    </w:rPr>
  </w:style>
  <w:style w:type="character" w:customStyle="1" w:styleId="585">
    <w:name w:val="标题 7 Char1"/>
    <w:qFormat/>
    <w:uiPriority w:val="0"/>
    <w:rPr>
      <w:rFonts w:ascii="Calibri" w:hAnsi="Calibri" w:eastAsia="宋体" w:cs="Times New Roman"/>
      <w:b/>
      <w:bCs/>
      <w:sz w:val="24"/>
      <w:szCs w:val="24"/>
    </w:rPr>
  </w:style>
  <w:style w:type="character" w:customStyle="1" w:styleId="586">
    <w:name w:val="标题 8 Char1"/>
    <w:qFormat/>
    <w:uiPriority w:val="0"/>
    <w:rPr>
      <w:rFonts w:ascii="Cambria" w:hAnsi="Cambria" w:eastAsia="宋体" w:cs="Times New Roman"/>
      <w:sz w:val="24"/>
      <w:szCs w:val="24"/>
    </w:rPr>
  </w:style>
  <w:style w:type="character" w:customStyle="1" w:styleId="587">
    <w:name w:val="标题 9 Char1"/>
    <w:qFormat/>
    <w:uiPriority w:val="0"/>
    <w:rPr>
      <w:rFonts w:ascii="Cambria" w:hAnsi="Cambria" w:eastAsia="宋体" w:cs="Times New Roman"/>
      <w:szCs w:val="21"/>
    </w:rPr>
  </w:style>
  <w:style w:type="character" w:customStyle="1" w:styleId="588">
    <w:name w:val="文档结构图 Char2"/>
    <w:qFormat/>
    <w:uiPriority w:val="0"/>
    <w:rPr>
      <w:rFonts w:ascii="Times New Roman" w:hAnsi="Times New Roman" w:eastAsia="宋体" w:cs="Times New Roman"/>
      <w:szCs w:val="24"/>
      <w:shd w:val="clear" w:color="auto" w:fill="000080"/>
    </w:rPr>
  </w:style>
  <w:style w:type="character" w:customStyle="1" w:styleId="589">
    <w:name w:val="正文文本 3 Char2"/>
    <w:qFormat/>
    <w:uiPriority w:val="0"/>
    <w:rPr>
      <w:rFonts w:ascii="Times New Roman" w:hAnsi="Times New Roman" w:eastAsia="宋体" w:cs="Times New Roman"/>
      <w:sz w:val="16"/>
      <w:szCs w:val="16"/>
    </w:rPr>
  </w:style>
  <w:style w:type="character" w:customStyle="1" w:styleId="590">
    <w:name w:val="正文文本 Char2"/>
    <w:qFormat/>
    <w:uiPriority w:val="0"/>
    <w:rPr>
      <w:rFonts w:ascii="Times New Roman" w:hAnsi="Times New Roman" w:eastAsia="宋体" w:cs="Times New Roman"/>
    </w:rPr>
  </w:style>
  <w:style w:type="character" w:customStyle="1" w:styleId="591">
    <w:name w:val="正文文本缩进 Char2"/>
    <w:qFormat/>
    <w:uiPriority w:val="0"/>
    <w:rPr>
      <w:rFonts w:ascii="宋体" w:hAnsi="宋体" w:eastAsia="宋体" w:cs="Times New Roman"/>
      <w:szCs w:val="20"/>
    </w:rPr>
  </w:style>
  <w:style w:type="character" w:customStyle="1" w:styleId="592">
    <w:name w:val="纯文本 Char2"/>
    <w:qFormat/>
    <w:uiPriority w:val="0"/>
    <w:rPr>
      <w:rFonts w:ascii="宋体" w:hAnsi="Courier New" w:eastAsia="宋体" w:cs="Times New Roman"/>
      <w:szCs w:val="24"/>
    </w:rPr>
  </w:style>
  <w:style w:type="character" w:customStyle="1" w:styleId="593">
    <w:name w:val="日期 Char2"/>
    <w:qFormat/>
    <w:uiPriority w:val="0"/>
    <w:rPr>
      <w:rFonts w:ascii="Times New Roman" w:hAnsi="Times New Roman" w:eastAsia="宋体" w:cs="Times New Roman"/>
      <w:szCs w:val="24"/>
    </w:rPr>
  </w:style>
  <w:style w:type="character" w:customStyle="1" w:styleId="594">
    <w:name w:val="正文文本缩进 2 Char1"/>
    <w:qFormat/>
    <w:uiPriority w:val="0"/>
    <w:rPr>
      <w:rFonts w:ascii="Times New Roman" w:hAnsi="Times New Roman" w:eastAsia="宋体" w:cs="Times New Roman"/>
      <w:szCs w:val="24"/>
    </w:rPr>
  </w:style>
  <w:style w:type="character" w:customStyle="1" w:styleId="595">
    <w:name w:val="尾注文本 Char2"/>
    <w:qFormat/>
    <w:uiPriority w:val="99"/>
    <w:rPr>
      <w:rFonts w:ascii="Times New Roman" w:hAnsi="Times New Roman" w:eastAsia="宋体" w:cs="Times New Roman"/>
      <w:szCs w:val="24"/>
    </w:rPr>
  </w:style>
  <w:style w:type="character" w:customStyle="1" w:styleId="596">
    <w:name w:val="批注框文本 Char2"/>
    <w:qFormat/>
    <w:uiPriority w:val="99"/>
    <w:rPr>
      <w:rFonts w:ascii="Times New Roman" w:hAnsi="Times New Roman" w:eastAsia="宋体" w:cs="Times New Roman"/>
      <w:sz w:val="18"/>
      <w:szCs w:val="18"/>
    </w:rPr>
  </w:style>
  <w:style w:type="character" w:customStyle="1" w:styleId="597">
    <w:name w:val="副标题 Char2"/>
    <w:qFormat/>
    <w:uiPriority w:val="0"/>
    <w:rPr>
      <w:rFonts w:ascii="Cambria" w:hAnsi="Cambria" w:eastAsia="宋体" w:cs="Times New Roman"/>
      <w:b/>
      <w:bCs/>
      <w:sz w:val="32"/>
      <w:szCs w:val="32"/>
    </w:rPr>
  </w:style>
  <w:style w:type="character" w:customStyle="1" w:styleId="598">
    <w:name w:val="标题 Char3"/>
    <w:qFormat/>
    <w:uiPriority w:val="0"/>
    <w:rPr>
      <w:rFonts w:ascii="Cambria" w:hAnsi="Cambria" w:eastAsia="宋体" w:cs="Times New Roman"/>
      <w:b/>
      <w:bCs/>
      <w:sz w:val="32"/>
      <w:szCs w:val="32"/>
    </w:rPr>
  </w:style>
  <w:style w:type="character" w:customStyle="1" w:styleId="599">
    <w:name w:val="批注主题 Char2"/>
    <w:qFormat/>
    <w:uiPriority w:val="99"/>
    <w:rPr>
      <w:rFonts w:ascii="Times New Roman" w:hAnsi="Times New Roman" w:eastAsia="宋体" w:cs="Times New Roman"/>
      <w:b/>
      <w:bCs/>
      <w:szCs w:val="24"/>
    </w:rPr>
  </w:style>
  <w:style w:type="character" w:customStyle="1" w:styleId="600">
    <w:name w:val="明显引用 Char2"/>
    <w:qFormat/>
    <w:uiPriority w:val="0"/>
    <w:rPr>
      <w:b/>
      <w:bCs/>
      <w:i/>
      <w:iCs/>
      <w:color w:val="4F81BD"/>
    </w:rPr>
  </w:style>
  <w:style w:type="character" w:customStyle="1" w:styleId="601">
    <w:name w:val="z-窗体顶端 Char3"/>
    <w:qFormat/>
    <w:uiPriority w:val="0"/>
    <w:rPr>
      <w:rFonts w:ascii="Arial" w:hAnsi="Arial" w:cs="Arial"/>
      <w:vanish/>
      <w:sz w:val="16"/>
      <w:szCs w:val="16"/>
    </w:rPr>
  </w:style>
  <w:style w:type="paragraph" w:customStyle="1" w:styleId="602">
    <w:name w:val="正文_3_0"/>
    <w:qFormat/>
    <w:uiPriority w:val="0"/>
    <w:pPr>
      <w:widowControl w:val="0"/>
      <w:jc w:val="both"/>
    </w:pPr>
    <w:rPr>
      <w:rFonts w:hint="default" w:ascii="Calibri" w:hAnsi="Calibri" w:eastAsia="宋体" w:cs="Times New Roman"/>
      <w:sz w:val="21"/>
      <w:szCs w:val="22"/>
      <w:lang w:val="en-US" w:eastAsia="zh-CN" w:bidi="ar-SA"/>
    </w:rPr>
  </w:style>
  <w:style w:type="character" w:customStyle="1" w:styleId="603">
    <w:name w:val="未处理的提及"/>
    <w:unhideWhenUsed/>
    <w:qFormat/>
    <w:uiPriority w:val="99"/>
    <w:rPr>
      <w:color w:val="605E5C"/>
      <w:shd w:val="clear" w:color="auto" w:fill="E1DFDD"/>
    </w:rPr>
  </w:style>
  <w:style w:type="paragraph" w:customStyle="1" w:styleId="604">
    <w:name w:val="默认段落字体 Para Char Char Char Char Char Char Char"/>
    <w:basedOn w:val="1"/>
    <w:qFormat/>
    <w:uiPriority w:val="99"/>
    <w:rPr>
      <w:rFonts w:ascii="Tahoma" w:hAnsi="Tahoma"/>
      <w:szCs w:val="20"/>
    </w:rPr>
  </w:style>
  <w:style w:type="paragraph" w:customStyle="1" w:styleId="605">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606">
    <w:name w:val="Normal_1"/>
    <w:qFormat/>
    <w:uiPriority w:val="0"/>
    <w:rPr>
      <w:rFonts w:hint="default" w:ascii="Times New Roman" w:hAnsi="Times New Roman" w:eastAsia="Times New Roman" w:cs="Times New Roman"/>
      <w:sz w:val="24"/>
      <w:szCs w:val="24"/>
      <w:lang w:val="en-US" w:eastAsia="zh-CN" w:bidi="ar-SA"/>
    </w:rPr>
  </w:style>
  <w:style w:type="paragraph" w:customStyle="1" w:styleId="607">
    <w:name w:val="样式 目录 1 + 小四"/>
    <w:basedOn w:val="31"/>
    <w:link w:val="608"/>
    <w:qFormat/>
    <w:uiPriority w:val="0"/>
    <w:pPr>
      <w:spacing w:after="0" w:line="400" w:lineRule="exact"/>
      <w:jc w:val="center"/>
    </w:pPr>
    <w:rPr>
      <w:rFonts w:ascii="Calibri" w:hAnsi="Calibri"/>
      <w:b/>
      <w:bCs/>
      <w:caps/>
      <w:sz w:val="28"/>
      <w:szCs w:val="20"/>
    </w:rPr>
  </w:style>
  <w:style w:type="character" w:customStyle="1" w:styleId="608">
    <w:name w:val="样式 目录 1 + 小四 Char"/>
    <w:link w:val="607"/>
    <w:qFormat/>
    <w:uiPriority w:val="0"/>
    <w:rPr>
      <w:rFonts w:ascii="Calibri" w:hAnsi="Calibri"/>
      <w:b/>
      <w:bCs/>
      <w:caps/>
      <w:sz w:val="28"/>
    </w:rPr>
  </w:style>
  <w:style w:type="paragraph" w:customStyle="1" w:styleId="609">
    <w:name w:val="reader-word-layer reader-word-s1-0"/>
    <w:basedOn w:val="1"/>
    <w:qFormat/>
    <w:uiPriority w:val="0"/>
    <w:pPr>
      <w:widowControl/>
      <w:spacing w:before="100" w:beforeAutospacing="1" w:after="100" w:afterAutospacing="1"/>
      <w:jc w:val="left"/>
    </w:pPr>
    <w:rPr>
      <w:rFonts w:ascii="宋体" w:hAnsi="宋体" w:cs="宋体"/>
    </w:rPr>
  </w:style>
  <w:style w:type="paragraph" w:customStyle="1" w:styleId="610">
    <w:name w:val="reader-word-layer reader-word-s1-9"/>
    <w:basedOn w:val="1"/>
    <w:qFormat/>
    <w:uiPriority w:val="0"/>
    <w:pPr>
      <w:widowControl/>
      <w:spacing w:before="100" w:beforeAutospacing="1" w:after="100" w:afterAutospacing="1"/>
      <w:jc w:val="left"/>
    </w:pPr>
    <w:rPr>
      <w:rFonts w:ascii="宋体" w:hAnsi="宋体" w:cs="宋体"/>
    </w:rPr>
  </w:style>
  <w:style w:type="paragraph" w:customStyle="1" w:styleId="611">
    <w:name w:val="reader-word-layer reader-word-s1-45"/>
    <w:basedOn w:val="1"/>
    <w:qFormat/>
    <w:uiPriority w:val="0"/>
    <w:pPr>
      <w:widowControl/>
      <w:spacing w:before="100" w:beforeAutospacing="1" w:after="100" w:afterAutospacing="1"/>
      <w:jc w:val="left"/>
    </w:pPr>
    <w:rPr>
      <w:rFonts w:ascii="宋体" w:hAnsi="宋体" w:cs="宋体"/>
    </w:rPr>
  </w:style>
  <w:style w:type="paragraph" w:customStyle="1" w:styleId="612">
    <w:name w:val="reader-word-layer reader-word-s1-39"/>
    <w:basedOn w:val="1"/>
    <w:qFormat/>
    <w:uiPriority w:val="0"/>
    <w:pPr>
      <w:widowControl/>
      <w:spacing w:before="100" w:beforeAutospacing="1" w:after="100" w:afterAutospacing="1"/>
      <w:jc w:val="left"/>
    </w:pPr>
    <w:rPr>
      <w:rFonts w:ascii="宋体" w:hAnsi="宋体" w:cs="宋体"/>
    </w:rPr>
  </w:style>
  <w:style w:type="paragraph" w:customStyle="1" w:styleId="613">
    <w:name w:val="WPSOffice手动目录 1"/>
    <w:qFormat/>
    <w:uiPriority w:val="0"/>
    <w:rPr>
      <w:rFonts w:hint="default" w:ascii="Times New Roman" w:hAnsi="Times New Roman" w:eastAsia="宋体" w:cs="Times New Roman"/>
      <w:lang w:val="en-US" w:eastAsia="zh-CN" w:bidi="ar-SA"/>
    </w:rPr>
  </w:style>
  <w:style w:type="paragraph" w:customStyle="1" w:styleId="614">
    <w:name w:val="TOC 标题11"/>
    <w:basedOn w:val="2"/>
    <w:next w:val="1"/>
    <w:qFormat/>
    <w:uiPriority w:val="0"/>
    <w:pPr>
      <w:widowControl/>
      <w:spacing w:after="0" w:line="276" w:lineRule="auto"/>
      <w:outlineLvl w:val="9"/>
    </w:pPr>
    <w:rPr>
      <w:rFonts w:ascii="Cambria" w:hAnsi="Cambria" w:eastAsia="宋体" w:cs="Times New Roman"/>
      <w:b/>
      <w:color w:val="365F91"/>
      <w:sz w:val="28"/>
      <w:szCs w:val="20"/>
    </w:rPr>
  </w:style>
  <w:style w:type="character" w:customStyle="1" w:styleId="615">
    <w:name w:val="fontstyle21"/>
    <w:qFormat/>
    <w:uiPriority w:val="0"/>
    <w:rPr>
      <w:rFonts w:hint="eastAsia" w:ascii="仿宋" w:hAnsi="仿宋" w:eastAsia="仿宋"/>
      <w:color w:val="000000"/>
      <w:sz w:val="32"/>
      <w:szCs w:val="32"/>
    </w:rPr>
  </w:style>
  <w:style w:type="paragraph" w:customStyle="1" w:styleId="616">
    <w:name w:val="Normal_0_1"/>
    <w:qFormat/>
    <w:uiPriority w:val="0"/>
    <w:pPr>
      <w:widowControl w:val="0"/>
      <w:jc w:val="both"/>
    </w:pPr>
    <w:rPr>
      <w:rFonts w:hint="default" w:ascii="Times New Roman" w:hAnsi="Times New Roman" w:eastAsia="Times New Roman" w:cs="Times New Roman"/>
      <w:lang w:val="en-US" w:eastAsia="zh-CN" w:bidi="ar-SA"/>
    </w:rPr>
  </w:style>
  <w:style w:type="character" w:customStyle="1" w:styleId="617">
    <w:name w:val="Body Text 3 Char"/>
    <w:qFormat/>
    <w:uiPriority w:val="99"/>
    <w:rPr>
      <w:rFonts w:cs="Times New Roman"/>
      <w:sz w:val="16"/>
    </w:rPr>
  </w:style>
  <w:style w:type="character" w:customStyle="1" w:styleId="618">
    <w:name w:val="apple-converted-space"/>
    <w:qFormat/>
    <w:uiPriority w:val="99"/>
  </w:style>
  <w:style w:type="character" w:customStyle="1" w:styleId="619">
    <w:name w:val="content1_0"/>
    <w:qFormat/>
    <w:uiPriority w:val="99"/>
    <w:rPr>
      <w:sz w:val="21"/>
      <w:u w:val="single"/>
    </w:rPr>
  </w:style>
  <w:style w:type="character" w:customStyle="1" w:styleId="620">
    <w:name w:val="正文文本 3 Char Char"/>
    <w:link w:val="621"/>
    <w:qFormat/>
    <w:uiPriority w:val="99"/>
    <w:rPr>
      <w:rFonts w:ascii="宋体" w:hAnsi="Calibri"/>
      <w:sz w:val="24"/>
    </w:rPr>
  </w:style>
  <w:style w:type="paragraph" w:customStyle="1" w:styleId="621">
    <w:name w:val="正文文本 3_0"/>
    <w:basedOn w:val="387"/>
    <w:link w:val="620"/>
    <w:qFormat/>
    <w:uiPriority w:val="99"/>
    <w:pPr>
      <w:widowControl w:val="0"/>
      <w:jc w:val="both"/>
    </w:pPr>
    <w:rPr>
      <w:rFonts w:ascii="宋体" w:hAnsi="Calibri"/>
      <w:sz w:val="24"/>
      <w:szCs w:val="20"/>
    </w:rPr>
  </w:style>
  <w:style w:type="paragraph" w:customStyle="1" w:styleId="622">
    <w:name w:val="正文文本 3_1"/>
    <w:basedOn w:val="269"/>
    <w:qFormat/>
    <w:uiPriority w:val="99"/>
    <w:rPr>
      <w:rFonts w:ascii="宋体" w:hAnsi="Calibri"/>
      <w:sz w:val="24"/>
      <w:szCs w:val="20"/>
    </w:rPr>
  </w:style>
  <w:style w:type="paragraph" w:customStyle="1" w:styleId="623">
    <w:name w:val="正文_0_0"/>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624">
    <w:name w:val="default"/>
    <w:basedOn w:val="1"/>
    <w:qFormat/>
    <w:uiPriority w:val="99"/>
    <w:pPr>
      <w:widowControl/>
      <w:spacing w:before="100" w:beforeAutospacing="1" w:after="100" w:afterAutospacing="1"/>
      <w:jc w:val="left"/>
    </w:pPr>
    <w:rPr>
      <w:rFonts w:ascii="宋体" w:hAnsi="宋体" w:cs="宋体"/>
    </w:rPr>
  </w:style>
  <w:style w:type="paragraph" w:customStyle="1" w:styleId="625">
    <w:name w:val="正文_6_2"/>
    <w:qFormat/>
    <w:uiPriority w:val="0"/>
    <w:pPr>
      <w:widowControl w:val="0"/>
      <w:jc w:val="both"/>
    </w:pPr>
    <w:rPr>
      <w:rFonts w:hint="default" w:ascii="Calibri" w:hAnsi="Calibri" w:eastAsia="宋体" w:cs="Times New Roman"/>
      <w:lang w:val="en-US" w:eastAsia="zh-CN" w:bidi="ar-SA"/>
    </w:rPr>
  </w:style>
  <w:style w:type="paragraph" w:customStyle="1" w:styleId="626">
    <w:name w:val="正文3"/>
    <w:qFormat/>
    <w:uiPriority w:val="0"/>
    <w:rPr>
      <w:rFonts w:hint="default" w:ascii="Times New Roman" w:hAnsi="Times New Roman" w:eastAsia="Times New Roman" w:cs="Times New Roman"/>
      <w:sz w:val="24"/>
      <w:szCs w:val="24"/>
      <w:lang w:val="en-US" w:eastAsia="zh-CN" w:bidi="ar-SA"/>
    </w:rPr>
  </w:style>
  <w:style w:type="paragraph" w:customStyle="1" w:styleId="627">
    <w:name w:val="Normal_3"/>
    <w:qFormat/>
    <w:uiPriority w:val="0"/>
    <w:rPr>
      <w:rFonts w:hint="default" w:ascii="Times New Roman" w:hAnsi="Times New Roman" w:eastAsia="Times New Roman" w:cs="Times New Roman"/>
      <w:sz w:val="24"/>
      <w:szCs w:val="24"/>
      <w:lang w:val="en-US" w:eastAsia="zh-CN" w:bidi="ar-SA"/>
    </w:rPr>
  </w:style>
  <w:style w:type="character" w:customStyle="1" w:styleId="628">
    <w:name w:val="无间隔 字符"/>
    <w:qFormat/>
    <w:uiPriority w:val="0"/>
    <w:rPr>
      <w:rFonts w:ascii="Calibri" w:hAnsi="Calibri"/>
      <w:sz w:val="22"/>
    </w:rPr>
  </w:style>
  <w:style w:type="character" w:customStyle="1" w:styleId="629">
    <w:name w:val="layui-this2"/>
    <w:qFormat/>
    <w:uiPriority w:val="0"/>
    <w:rPr>
      <w:shd w:val="clear" w:color="auto" w:fill="FFFFFF"/>
    </w:rPr>
  </w:style>
  <w:style w:type="character" w:customStyle="1" w:styleId="630">
    <w:name w:val="hover23"/>
    <w:qFormat/>
    <w:uiPriority w:val="0"/>
    <w:rPr>
      <w:color w:val="315EFB"/>
    </w:rPr>
  </w:style>
  <w:style w:type="character" w:customStyle="1" w:styleId="631">
    <w:name w:val="hover25"/>
    <w:qFormat/>
    <w:uiPriority w:val="0"/>
    <w:rPr>
      <w:color w:val="315EFB"/>
    </w:rPr>
  </w:style>
  <w:style w:type="character" w:customStyle="1" w:styleId="632">
    <w:name w:val="cf01"/>
    <w:qFormat/>
    <w:uiPriority w:val="0"/>
    <w:rPr>
      <w:rFonts w:hint="eastAsia" w:ascii="Microsoft YaHei UI" w:hAnsi="Microsoft YaHei UI" w:eastAsia="Microsoft YaHei UI"/>
      <w:sz w:val="18"/>
      <w:szCs w:val="18"/>
    </w:rPr>
  </w:style>
  <w:style w:type="character" w:customStyle="1" w:styleId="633">
    <w:name w:val="标题 4 字符2"/>
    <w:qFormat/>
    <w:uiPriority w:val="0"/>
    <w:rPr>
      <w:rFonts w:ascii="Arial" w:hAnsi="Arial" w:eastAsia="宋体"/>
      <w:b/>
      <w:bCs/>
      <w:sz w:val="21"/>
      <w:szCs w:val="28"/>
      <w:lang w:val="en-US" w:eastAsia="zh-CN" w:bidi="ar-SA"/>
    </w:rPr>
  </w:style>
  <w:style w:type="character" w:customStyle="1" w:styleId="634">
    <w:name w:val="Char Char82"/>
    <w:qFormat/>
    <w:uiPriority w:val="0"/>
    <w:rPr>
      <w:rFonts w:ascii="Arial" w:hAnsi="Arial" w:eastAsia="黑体"/>
      <w:b/>
      <w:bCs/>
      <w:sz w:val="32"/>
      <w:szCs w:val="32"/>
      <w:lang w:val="en-US" w:eastAsia="zh-CN" w:bidi="ar-SA"/>
    </w:rPr>
  </w:style>
  <w:style w:type="character" w:customStyle="1" w:styleId="635">
    <w:name w:val="Char Char10"/>
    <w:qFormat/>
    <w:uiPriority w:val="0"/>
    <w:rPr>
      <w:rFonts w:ascii="Arial" w:hAnsi="Arial" w:eastAsia="黑体"/>
      <w:b/>
      <w:bCs/>
      <w:sz w:val="32"/>
      <w:szCs w:val="32"/>
      <w:lang w:val="en-US" w:eastAsia="zh-CN" w:bidi="ar-SA"/>
    </w:rPr>
  </w:style>
  <w:style w:type="character" w:customStyle="1" w:styleId="636">
    <w:name w:val="Char Char26"/>
    <w:qFormat/>
    <w:uiPriority w:val="0"/>
    <w:rPr>
      <w:rFonts w:eastAsia="宋体"/>
      <w:sz w:val="21"/>
      <w:szCs w:val="24"/>
      <w:lang w:val="en-US" w:eastAsia="zh-CN" w:bidi="ar-SA"/>
    </w:rPr>
  </w:style>
  <w:style w:type="character" w:customStyle="1" w:styleId="637">
    <w:name w:val="Char Char73"/>
    <w:qFormat/>
    <w:uiPriority w:val="0"/>
    <w:rPr>
      <w:rFonts w:ascii="Arial" w:hAnsi="Arial" w:eastAsia="黑体"/>
      <w:b/>
      <w:bCs/>
      <w:sz w:val="32"/>
      <w:szCs w:val="32"/>
      <w:lang w:val="en-US" w:eastAsia="zh-CN" w:bidi="ar-SA"/>
    </w:rPr>
  </w:style>
  <w:style w:type="paragraph" w:customStyle="1" w:styleId="638">
    <w:name w:val="Char3"/>
    <w:basedOn w:val="1"/>
    <w:qFormat/>
    <w:uiPriority w:val="0"/>
    <w:pPr>
      <w:tabs>
        <w:tab w:val="left" w:pos="360"/>
      </w:tabs>
    </w:pPr>
    <w:rPr>
      <w:rFonts w:ascii="Calibri" w:hAnsi="Calibri"/>
      <w:szCs w:val="22"/>
    </w:rPr>
  </w:style>
  <w:style w:type="paragraph" w:customStyle="1" w:styleId="639">
    <w:name w:val="正文4"/>
    <w:qFormat/>
    <w:uiPriority w:val="0"/>
    <w:rPr>
      <w:rFonts w:hint="default" w:ascii="Times New Roman" w:hAnsi="Times New Roman" w:eastAsia="Times New Roman" w:cs="Times New Roman"/>
      <w:sz w:val="24"/>
      <w:szCs w:val="24"/>
      <w:lang w:val="en-US" w:eastAsia="zh-CN" w:bidi="ar-SA"/>
    </w:rPr>
  </w:style>
  <w:style w:type="character" w:customStyle="1" w:styleId="640">
    <w:name w:val="font71"/>
    <w:basedOn w:val="47"/>
    <w:qFormat/>
    <w:uiPriority w:val="0"/>
    <w:rPr>
      <w:rFonts w:hint="eastAsia" w:ascii="宋体" w:hAnsi="宋体" w:eastAsia="宋体" w:cs="宋体"/>
      <w:b/>
      <w:bCs/>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67</Pages>
  <Words>14167</Words>
  <Characters>15410</Characters>
  <TotalTime>0</TotalTime>
  <ScaleCrop>false</ScaleCrop>
  <LinksUpToDate>false</LinksUpToDate>
  <CharactersWithSpaces>15492</CharactersWithSpaces>
  <Application>WPS Office_12.1.0.25860_F1E327BC-269C-435d-A152-05C5408002CA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2025-01-14T08:42:00Z</dcterms:created>
  <dc:creator>城南大院物业管理处-叶丹青</dc:creator>
  <cp:lastModifiedBy>南京南大尚诚软件科技有限公司</cp:lastModifiedBy>
  <cp:lastPrinted>2025-11-26T08:33:00Z</cp:lastPrinted>
  <dcterms:modified xsi:type="dcterms:W3CDTF">2026-04-28T03:20:56Z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2052-12.1.0.25860</vt:lpwstr>
  </property>
  <property fmtid="{D5CDD505-2E9C-101B-9397-08002B2CF9AE}" pid="3" name="ICV">
    <vt:lpwstr>62FE06E64C5841568FB40C63DBDD1532_13</vt:lpwstr>
  </property>
  <property fmtid="{D5CDD505-2E9C-101B-9397-08002B2CF9AE}" pid="4" name="KSOTemplateDocerSaveRecord">
    <vt:lpwstr>eyJoZGlkIjoiMDYyNzc0N2FkOWFhZDk2M2M1Nzg0YmRmNDA5ZjRlZDUiLCJ1c2VySWQiOiIzODQzMDMwNTcifQ==</vt:lpwstr>
  </property>
</Properties>
</file>